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87S10588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257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for which the comptroller of public accounts is required to use a school district's local value in determining the total taxable value of property in the district if the comptroller determines that the district is an eligible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403.302(l),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If after conducting the study for a year the comptroller determines that a school district is an eligible school district, for that year and the following </w:t>
      </w:r>
      <w:r>
        <w:rPr>
          <w:u w:val="single"/>
        </w:rPr>
        <w:t xml:space="preserve">three years</w:t>
      </w:r>
      <w:r>
        <w:t xml:space="preserve"> [</w:t>
      </w:r>
      <w:r>
        <w:rPr>
          <w:strike/>
        </w:rPr>
        <w:t xml:space="preserve">year</w:t>
      </w:r>
      <w:r>
        <w:t xml:space="preserve">] the taxable value for the school district is the district's local value.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study conducted under Section 403.302, Government Code, for a tax year that begins on or after the effective date of this Act. The study for a tax year that begins before the effective date of this Act is covered by the law in effect immediately before the effective date of this Act, and the prior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