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87S10905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duration of a protective order prohibiting an offense motivated by bias or prejudice.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7B.103,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7B.103.</w:t>
      </w:r>
      <w:r xml:space="preserve">
        <w:t> </w:t>
      </w:r>
      <w:r xml:space="preserve">
        <w:t> </w:t>
      </w:r>
      <w:r>
        <w:t xml:space="preserve">ENFORCEMENT.  The procedure for the enforcement of a protective order under Title 4, Family Code, applies to the fullest extent practicable to the enforcement of a protective order under this subchapter, including provisions relating to findings, contents, [</w:t>
      </w:r>
      <w:r>
        <w:rPr>
          <w:strike/>
        </w:rPr>
        <w:t xml:space="preserve">duration,</w:t>
      </w:r>
      <w:r>
        <w:t xml:space="preserve">] warning, delivery, law enforcement duties, and modification, except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printed statement on the warning must refer to the prosecution of subsequent offenses committed because of bias or prejudice;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protective order issued under this subchapter may be effective: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duration of the lives of the defendant and the person for whom the protective order is issued or for any shorter period stated in the order;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period is not stated in the order, until the second anniversary of the date the order was issued;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court shall require a constable to serve a protective order issued under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the clerk of the court shall forward a copy of a protective order issued under this subchapter to the Department of Public Safety with a designation indicating that the order was issued to prevent offenses committed because of bias or prejudice.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7B, Code of Criminal Procedure, is amended by adding Article 7B.1035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7B.1035.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RESCISSION.  A person for whom a protective order is issued under this subchapter may file at any time an application with the court to rescind the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85.025(b-3),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(b-3)</w:t>
      </w:r>
      <w:r xml:space="preserve">
        <w:t> </w:t>
      </w:r>
      <w:r xml:space="preserve">
        <w:t> </w:t>
      </w:r>
      <w:r>
        <w:t xml:space="preserve">Subsection (b) does not apply to a protective order issued under Subchapter A </w:t>
      </w:r>
      <w:r>
        <w:rPr>
          <w:u w:val="single"/>
        </w:rPr>
        <w:t xml:space="preserve">or C</w:t>
      </w:r>
      <w:r>
        <w:t xml:space="preserve">, Chapter 7B,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Article 7B.103, Code of Criminal Procedure, and Section 85.025(b-3), Family Code, as amended by this Act, apply only to a protective order for which an application is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