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contents of a petition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262.101, Family Code, is amended to read as follows:</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FILING PETITION BEFORE TAKING POSSESSION OF CHILD.  </w:t>
      </w:r>
      <w:r>
        <w:rPr>
          <w:u w:val="single"/>
        </w:rPr>
        <w:t xml:space="preserve">(a)</w:t>
      </w:r>
      <w:r>
        <w:t xml:space="preserve">  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w:t>
      </w:r>
    </w:p>
    <w:p w:rsidR="003F3435" w:rsidRDefault="0032493E">
      <w:pPr>
        <w:spacing w:line="480" w:lineRule="auto"/>
        <w:jc w:val="both"/>
      </w:pPr>
      <w:r>
        <w:t xml:space="preserve">Subchapter C; and</w:t>
      </w:r>
    </w:p>
    <w:p w:rsidR="003F3435" w:rsidRDefault="0032493E">
      <w:pPr>
        <w:spacing w:line="480" w:lineRule="auto"/>
        <w:ind w:firstLine="1440"/>
        <w:jc w:val="both"/>
      </w:pPr>
      <w:r>
        <w:t xml:space="preserve">(4)</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262.105,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affidavit required by Subsection (b) must describe all reasonable efforts that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262.113, Family Code, is amended to read as follows:</w:t>
      </w:r>
    </w:p>
    <w:p w:rsidR="003F3435" w:rsidRDefault="0032493E">
      <w:pPr>
        <w:spacing w:line="480" w:lineRule="auto"/>
        <w:ind w:firstLine="720"/>
        <w:jc w:val="both"/>
      </w:pPr>
      <w:r>
        <w:t xml:space="preserve">Sec.</w:t>
      </w:r>
      <w:r xml:space="preserve">
        <w:t> </w:t>
      </w:r>
      <w:r>
        <w:t xml:space="preserve">262.113.</w:t>
      </w:r>
      <w:r xml:space="preserve">
        <w:t> </w:t>
      </w:r>
      <w:r xml:space="preserve">
        <w:t> </w:t>
      </w:r>
      <w:r>
        <w:t xml:space="preserve">FILING SUIT WITHOUT TAKING POSSESSION OF CHILD.  </w:t>
      </w:r>
      <w:r>
        <w:rPr>
          <w:u w:val="single"/>
        </w:rPr>
        <w:t xml:space="preserve">(a)</w:t>
      </w:r>
      <w:r>
        <w:t xml:space="preserve">  An original suit filed by a governmental entity that requests to take possession of a child after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that allowing the child to remain in the home would be contrary to the child's welfare; and</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have been made to prevent or eliminate the need to remove the child from the child's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to a suit affecting the parent-child relationship filed on or after the effective date of this Act.  A suit filed before the effective date of this Act is governed by the law in effect on the date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