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87S10935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fiscal notes for city ballot propositions.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52.0725.</w:t>
      </w:r>
      <w:r>
        <w:rPr>
          <w:u w:val="single"/>
        </w:rPr>
        <w:t xml:space="preserve"> </w:t>
      </w:r>
      <w:r>
        <w:rPr>
          <w:u w:val="single"/>
        </w:rPr>
        <w:t xml:space="preserve"> </w:t>
      </w:r>
      <w:r>
        <w:rPr>
          <w:u w:val="single"/>
        </w:rPr>
        <w:t xml:space="preserve">FISCAL NOTE FOR CITY BALLOT PROPOSITION.  (a)  For an election on a city ballot proposition stating a measure, the city secretary shall prepare a fiscal note outlining the fiscal implications and projected cost of the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secretary shall include in the fiscal note a projection of the annual cost of the measure for the five-year period that begins on the effective date of the measure.  The projection must include all money anticipated to be spent by the city, regardless of the source of the money.  The projection must include the gross anticipated annual costs of the measure and may not be reduced by a calculated estimate of benefits or cost savings created by the measure.  An estimate of benefits or cost savings may be described separately in the fiscal note.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secretary shall include in the fiscal note the projected annual cost of the measure per resident, calculated by dividing the average annual cost determined under Subsection (b) by the number of adult residents of the city according to the most recent decennial census.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14th day before the date the ballots are printed, the city secretary shall make available in the city secretary's office and on the city's Internet website, if the city maintains an Internet website, a document that includes the details of the projection described by Subsection (b) and the methodology used to calculate the projection.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projected annual cost per resident determined under Subsection (c) must be printed on the ballot immediately following the text of the applicable ballot proposition in the following format: "If this ballot proposition passes, the additional cost to each adult resident is $_____ (amount calculated as described by Subsection (c)) per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qualified voter in the city or the attorney general may file a civil action in district court to compel the city secretary to comply with the requirements of this section, including the requirement that the city secretary accurately calculate the fiscal implications of a measure.  The court shall give absolute preference to a suit filed under this section so that a decision on the suit is reached before the deadline for printing ballots.</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plaintiff who substantially prevails in an action brought under Subsection (f), through judgment or through a change in behavior resulting from the litigation, is entitled to court costs, reasonable attorney's fees, and a penalty equal to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times the party's attorney's fees;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Sovereign and governmental immunity from suit and liability is waived and abolished to the extent of liability created by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