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87S10770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who has a valid driver's license or personal identification card issued in this state to complete a voter registration application over the Internet from an official website of this state.  The secretary of state may develop an Internet website for this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information required under Section 13.002(c);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audit number and date of issuance of the applicant's Texas driver's license or personal identification card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 submits an application under this section, the secretary of state shall compare the information provided by the applicant against Department of Public Safety records.  If any information submitted by an applicant does not match Department of Public Safety records, the secretary shall reject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 person submits an application under this section, the Internet Protocol address of the device used to submit the application shall be recorded and included with the applicant's application file under Section 13.101 or 13.102,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completed online application and information from the Department of Public Safety, including all copies of the applicant's digital signature on record, shall be provided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for the county where the applicant currently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for the statewide computerized voter registration list under Section 18.061.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electronically under this section is considered for all purposes as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December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