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athletic conference membership by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51.979.</w:t>
      </w:r>
      <w:r>
        <w:rPr>
          <w:u w:val="single"/>
        </w:rPr>
        <w:t xml:space="preserve"> </w:t>
      </w:r>
      <w:r>
        <w:rPr>
          <w:u w:val="single"/>
        </w:rPr>
        <w:t xml:space="preserve"> </w:t>
      </w:r>
      <w:r>
        <w:rPr>
          <w:u w:val="single"/>
        </w:rPr>
        <w:t xml:space="preserve">COLLEGIATE ATHLETIC CONFERENCE MEMBERSHIP.  Notwithstanding any other section of this code, a public senior college or university, as defined by Section 61.003(4), and the governing board of each institution may not change membership in a collegiate athletic conference without passage of a concurrent resolution by a majority vote in both legislative chambers.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