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87S10437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H.C.R.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passage of the For the People Act and the John Lewis Voting Rights Advancement Act would help to protect Americans' right to vote; and</w:t>
      </w:r>
    </w:p>
    <w:p w:rsidR="003F3435" w:rsidRDefault="0032493E">
      <w:pPr>
        <w:spacing w:line="480" w:lineRule="auto"/>
        <w:ind w:firstLine="720"/>
        <w:jc w:val="both"/>
      </w:pPr>
      <w:r>
        <w:t xml:space="preserve">WHEREAS, The For the People Act currently under consideration in the United States Congress reflects lessons learned across the country during recent election cycles, embracing measures to improve the safety and security of our voting processes and to strengthen our democracy by engaging more citizens; recognizing the exigencies of modern life in a 24/7 economy, the legislation includes many elements to make voting simpler and more convenient, among them at least two weeks of early in-person voting, online and same-day voter registration, and automatic voter registration at motor vehicle departments and other specified government agencies; it expands and standardizes voting by mail, provides funding for mail-in ballot tracking, and offers standards for ballot drop boxes; setting such national policies will ensure that every eligible voter has equal access to the ballot box, no matter where they reside; and</w:t>
      </w:r>
    </w:p>
    <w:p w:rsidR="003F3435" w:rsidRDefault="0032493E">
      <w:pPr>
        <w:spacing w:line="480" w:lineRule="auto"/>
        <w:ind w:firstLine="720"/>
        <w:jc w:val="both"/>
      </w:pPr>
      <w:r>
        <w:t xml:space="preserve">WHEREAS, In 2013, a landmark Supreme Court decision weakened the Voting Rights Act of 1965 by ending the preclearance process, which required jurisdictions with a history of voting discrimination to submit changes to voting policies for federal approval before implementing them; in response to the decision, U.S. Representatives Terri Sewell and John Lewis coauthored the Voting Rights Advancement Act, which was renamed in honor of Congressman Lewis after his passing; this bill would restore the protections of the Voting Rights Act of 1965 while updating the coverage criteria to reflect current conditions and apply to all states; furthermore, the bill focuses the preclearance process on a set of discriminatory measures, requires reasonable public notice for voting changes, and allows the Attorney General to request the presence of federal observers in places at risk of racial discrimination in voting; and</w:t>
      </w:r>
    </w:p>
    <w:p w:rsidR="003F3435" w:rsidRDefault="0032493E">
      <w:pPr>
        <w:spacing w:line="480" w:lineRule="auto"/>
        <w:ind w:firstLine="720"/>
        <w:jc w:val="both"/>
      </w:pPr>
      <w:r>
        <w:t xml:space="preserve">WHEREAS, The United States is the world's leading democracy, and we must continue to set the standard for free, fair, and accessible elections in which every vote is counted; now, therefore, be it</w:t>
      </w:r>
    </w:p>
    <w:p w:rsidR="003F3435" w:rsidRDefault="0032493E">
      <w:pPr>
        <w:spacing w:line="480" w:lineRule="auto"/>
        <w:ind w:firstLine="720"/>
        <w:jc w:val="both"/>
      </w:pPr>
      <w:r>
        <w:t xml:space="preserve">RESOLVED, That the 87th Legislature of the State of Texas, 1st Called Session, hereby respectfully urge the United States Congress to pass the For the People Act and the John Lewis Voting Rights Advancement Act;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