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87S10006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recent years, the Hill Country community of Llano has become known throughout Texas as a thriving center for the sport of barrel racing;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John L. Kuykendall Event Center and Arena attracts a multitude of competitors and fans to the city, and the Llano Chamber of Commerce estimates that the economic impact from barrel racing exceeds $1 million annually;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From 2016 to 2020, the number of barrel races held at the JLK Arena grew by 200 percent, with total annual race days increasing from 50 to 120; approximately 150 events are slated to take place in 2021, and the venue is also used for practice sessions for several days each week;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Renowned as one of the safest barrel racing facilities in Texas, the JLK Arena has been honored with a Justin Boots Best Footing Award from the Women's Professional Rodeo Association in recognition of the exceptional ground conditions at its races;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Barrel racing is a source of pride and prosperity for the residents of Llano, and the city's efforts to showcase the sport are furthering the rich rodeo heritage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87th Legislature of the State of Texas, 1st Called Session, hereby designate Llano as the official Barrel Racing Capital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the date this resolution is finally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