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87S10210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 or that person's spouse who receives the exemption.  If a person </w:t>
      </w:r>
      <w:r>
        <w:rPr>
          <w:u w:val="single"/>
        </w:rPr>
        <w:t xml:space="preserve">who is</w:t>
      </w:r>
      <w:r>
        <w:t xml:space="preserve"> 65 years of age or older </w:t>
      </w:r>
      <w:r>
        <w:rPr>
          <w:u w:val="single"/>
        </w:rPr>
        <w:t xml:space="preserve">or who is disabled</w:t>
      </w:r>
      <w:r>
        <w:t xml:space="preserve"> dies in a year in which the person received the exemption, the total amount of ad valorem taxes imposed on the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person's surviving spouse if the spouse is 55 years of age or older </w:t>
      </w:r>
      <w:r>
        <w:rPr>
          <w:u w:val="single"/>
        </w:rPr>
        <w:t xml:space="preserve">or disabled</w:t>
      </w:r>
      <w:r>
        <w:t xml:space="preserve">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1-b(h), Article VIII, Texas Constitution,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1st Called Session, 2021,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1-b(d), Article VIII, of this constitution and the repeal of Section 1-b(h), Article VIII, of this constitution take effect January 1, 2022.  The limitations provided by Section 1-b(d), as amended, apply beginning with taxes imposed for the 2022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limitation on the total amount of ad valorem taxes that political subdivisions may impose on the residence homesteads of individuals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