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H.J.R.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expand eligibility for Medicaid to certain persons under the federal Patient Protection and Affordable Care Act.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The state shall provide medical assistance to all  persons who apply for that assistance and for whom 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the state to provide that assistance.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87th Legislature,  1st Called Session, 2021, requiring the state to expand eligibility for Medicaid to all persons for whom federal matching funds are available under the federal Patient Protection and Affordable Care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74, Article XVI, of this constitution takes  effect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8, 2022. The ballot shall be printed to provide for voting for or against the proposition: "The constitutional amendment requiring the state to expand eligibility for Medicaid to all persons for whom federal matching funds are available under the federal Patient Protection and Affordable Care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