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Health &amp; Human Services; July</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0; July</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in protecting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failure rate and risk of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whether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abortion-inducing drug is administered or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abortion-inducing drug is administered</w:t>
      </w:r>
      <w:r>
        <w:t xml:space="preserve"> [</w:t>
      </w:r>
      <w:r>
        <w:rPr>
          <w:strike/>
        </w:rPr>
        <w:t xml:space="preserve">administration</w:t>
      </w:r>
      <w:r>
        <w:t xml:space="preserve">] or </w:t>
      </w:r>
      <w:r>
        <w:rPr>
          <w:u w:val="single"/>
        </w:rPr>
        <w:t xml:space="preserve">used or the abortion is performed or induced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Except as specifically provided by Section 6 of this Act, 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Any provision of this Act held to be invalid or unenforceable by its terms or as applied to any person or circumstance shall be construed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