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87S10145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reduction of the amount of a limitation on the total amount of ad valorem taxes that may be imposed by a school district on the residence homestead of an individual who is elderly or disabled to reflect any reduction from the preceding tax year in the district's maximum compressed 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11.26, Tax Code, is amended by adding Subsections (a-4), (a-5), (a-6), (a-7), (a-8), and (a-9) to read as follows: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In this section, "maximum compressed rate" means the maximum compressed rate of a school district as calculated under Section 48.2551, Education Code.</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Notwithstanding the other provisions of this section, if in the 2022 tax year an individual qualifies for a limitation on tax increases provided by this section on the individual's residence homestead and the first tax year the individual or the individual's spouse qualified for an exemption under Section 11.13(c) for the same homestead was a tax year before the 2019 tax year, the amount of the limitation provided by this section on the homestead in the 2022 tax year is equal to the amount computed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multiplying the taxable value of the homestead in the 2018 tax year by a tax rate equal to the difference between the school district's tier one maintenance and operations rate for the 2018 tax year and the district's maximum compressed rate for the 2019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the greater of zero or the amount computed under Subdivision (1) from the amount of tax the district imposed on the homestead in the 2018 tax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adding any tax imposed in the 2019 tax year attributable to improvements made in the 2018 tax year as provided by Subsection (b) to the amount computed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taxable value of the homestead in the 2019 tax year by a tax rate equal to the difference between the district's maximum compressed rate for the 2019 tax year and the district's maximum compressed rate for the 2020 tax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adding any tax imposed in the 2020 tax year attributable to improvements made in the 2019 tax year as provided by Subsection (b) to the amount computed under Subdivision (5);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multiplying the taxable value of the homestead in the 2020 tax year by a tax rate equal to the difference between the district's maximum compressed rate for the 2020 tax year and the district's maximum compressed rate for the 2021 tax year;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subtracting the amount computed under Subdivision (7) from the amount computed under Subdivision (6);</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adding any tax imposed in the 2021 tax year attributable to improvements made in the 2020 tax year as provided by Subsection (b) to the amount computed under Subdivision (8);</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multiplying the taxable value of the homestead in the 2021 tax year by a tax rate equal to the difference between the district's maximum compressed rate for the 2021 tax year and the district's maximum compressed rate for the 2022 tax year;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subtracting the amount computed under Subdivision (10) from the amount computed under Subdivision (9);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adding any tax imposed in the 2022 tax year attributable to improvements made in the 2021 tax year as provided by Subsection (b) to the amount computed under Subdivision (11).</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Notwithstanding the other provisions of this section, if in the 2022 tax year an individual qualifies for a limitation on tax increases provided by this section on the individual's residence homestead and the first tax year the individual or the individual's spouse qualified for an exemption under Section 11.13(c) for the same homestead was the 2019 tax year, the amount of the limitation provided by this section on the homestead in the 2022 tax year is equal to the amount computed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multiplying the taxable value of the homestead in the 2019 tax year by a tax rate equal to the difference between the school district's maximum compressed rate for the 2019 tax year and the district's maximum compressed rate for the 2020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the amount computed under Subdivision (1) from the amount of tax the district imposed on the homestead in the 2019 tax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adding any tax imposed in the 2020 tax year attributable to improvements made in the 2019 tax year as provided by Subsection (b) to the amount computed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taxable value of the homestead in the 2020 tax year by a tax rate equal to the difference between the district's maximum compressed rate for the 2020 tax year and the district's maximum compressed rate for the 2021 tax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adding any tax imposed in the 2021 tax year attributable to improvements made in the 2020 tax year as provided by Subsection (b) to the amount computed under Subdivision (5);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multiplying the taxable value of the homestead in the 2021 tax year by a tax rate equal to the difference between the district's maximum compressed rate for the 2021 tax year and the district's maximum compressed rate for the 2022 tax year;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subtracting the amount computed under Subdivision (7) from the amount computed under Subdivision (6);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adding any tax imposed in the 2022 tax year attributable to improvements made in the 2021 tax year as provided by Subsection (b) to the amount computed under Subdivision (8).</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Notwithstanding the other provisions of this section, if in the 2022 tax year an individual qualifies for a limitation on tax increases provided by this section on the individual's residence homestead and the first tax year the individual or the individual's spouse qualified for an exemption under Section 11.13(c) for the same homestead was the 2020 tax year, the amount of the limitation provided by this section on the homestead in the 2022 tax year is equal to the amount computed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multiplying the taxable value of the homestead in the 2020 tax year by a tax rate equal to the difference between the school district's maximum compressed rate for the 2020 tax year and the district's maximum compressed rate for the 2021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the amount computed under Subdivision (1) from the amount of tax the district imposed on the homestead in the 2020 tax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adding any tax imposed in the 2021 tax year attributable to improvements made in the 2020 tax year as provided by Subsection (b) to the amount computed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taxable value of the homestead in the 2021 tax year by a tax rate equal to the difference between the district's maximum compressed rate for the 2021 tax year and the district's maximum compressed rate for the 2022 tax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adding any tax imposed in the 2022 tax year attributable to improvements made in the 2021 tax year as provided by Subsection (b) to the amount computed under Subdivision (5).</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Notwithstanding the other provisions of this section, if in the 2022 tax year an individual qualifies for a limitation on tax increases provided by this section on the individual's residence homestead and the first tax year the individual or the individual's spouse qualified for an exemption under Section 11.13(c) for the same homestead was the 2021 tax year, the amount of the limitation provided by this section on the homestead in the 2022 tax year is equal to the amount computed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multiplying the taxable value of the homestead in the 2021 tax year by a tax rate equal to the difference between the school district's maximum compressed rate for the 2021 tax year and the district's maximum compressed rate for the 2022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the amount computed under Subdivision (1) from the amount of tax the district imposed on the homestead in the 2021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adding any tax imposed in the 2022 tax year attributable to improvements made in the 2021 tax year as provided by Subsection (b) to the amount computed under Subdivision (2).</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Notwithstanding the other provisions of this section, if in the 2023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the amount computed under Subdivision (1) from the amount of tax the district imposed on the homestead in the preceding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adding any tax imposed in the current tax year attributable to improvements made in the preceding tax year as provided by Subsection (b) to the amount computed under Subdivision (2).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 but only if the constitutional amendment proposed by the 87th Legislature, 1st Called Session, 2021, authorizing the legislature to provide for the reduction of the amount of a limitation on the total amount of ad valorem taxes that may be imposed for general elementary and secondary public school purposes on the residence homestead of a person who is elderly or disabled to reflect any statutory reduction from the preceding tax year in the maximum compressed rate of the maintenance and operations taxes imposed for those purposes on the homestead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