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of polling place locations during a continuous period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41.0015.</w:t>
      </w:r>
      <w:r>
        <w:rPr>
          <w:u w:val="single"/>
        </w:rPr>
        <w:t xml:space="preserve"> </w:t>
      </w:r>
      <w:r>
        <w:rPr>
          <w:u w:val="single"/>
        </w:rPr>
        <w:t xml:space="preserve"> </w:t>
      </w:r>
      <w:r>
        <w:rPr>
          <w:u w:val="single"/>
        </w:rPr>
        <w:t xml:space="preserve">ELECTION PERIOD.  In this title, "election period" means the period beginning on the first day of early voting by personal appearance as described under Section 85.001 and ending when the polls close on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ADDITIONAL POLLING PLACES DURING ELECTION PERIOD.  If the county clerk or commissioners court, as applicable, determines that more polling places are needed during the election period than the number initially opened, the county clerk or commissioners court may open more polling places, but may not, for any reason, close a polling place before the end of the election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Immediately before opening the polls for voting on the first day of the election period, the presiding election judge shall confirm that each voting machine has any public counter reset to zero and shall print the zero tape: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shows the counter was set to zero;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shows the summary for each candidate and measure on the ballot for each voting machine is set to zero.</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the last day of the election period, the presiding election judge shall print the results tape to show the summary of votes for each candidate or ballot measure for each voting machine at that polling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precinct election judge, and an election official aligned with a different political party, shall sign a tape printed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"election period" has the meaning assigned by Section 41.0015.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14th</w:t>
      </w:r>
      <w:r>
        <w:t xml:space="preserve"> [</w:t>
      </w:r>
      <w:r>
        <w:rPr>
          <w:strike/>
        </w:rPr>
        <w:t xml:space="preserve">17th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 except as otherwise provided by this section.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w:t>
      </w:r>
      <w:r>
        <w:rPr>
          <w:u w:val="single"/>
        </w:rPr>
        <w:t xml:space="preserve">10th</w:t>
      </w:r>
      <w:r>
        <w:t xml:space="preserve"> [</w:t>
      </w:r>
      <w:r>
        <w:rPr>
          <w:strike/>
        </w:rPr>
        <w:t xml:space="preserve">12th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125, Election Code, is amended by adding Section 125.0635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125.0635.</w:t>
      </w:r>
      <w:r>
        <w:rPr>
          <w:u w:val="single"/>
        </w:rPr>
        <w:t xml:space="preserve"> </w:t>
      </w:r>
      <w:r>
        <w:rPr>
          <w:u w:val="single"/>
        </w:rPr>
        <w:t xml:space="preserve"> </w:t>
      </w:r>
      <w:r>
        <w:rPr>
          <w:u w:val="single"/>
        </w:rPr>
        <w:t xml:space="preserve">SECURING EQUIPMENT ON FAILURE OF EQUIPMENT.  (a) In this section, "election period" has the meaning assigned by Section 41.0015.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piece of electronic voting machine equipment fails and is taken out of service during the election period, the equipment and any associated memory card must be securely isolated until the end of the election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