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87S10010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 or induced.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or induced, the physician who is to perform or induce an abortion shall confirm the pregnant woman received a resource access assistance offer, as required by this section, by verifying the unique identifying number, devoid of the woman's personally identifiable information, as provided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as a counselor, physician,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authorized under a contract with the commission to provide resource access assistance offers and support services on behalf of this state in accordance with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training program on identifying and assisting victims of human trafficking using a standardized curriculum created by the human trafficking prevention task force established under Section 402.035,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medical records privacy laws under Chapter 181;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two years preceding the offer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or induced an abortion;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refer a woman to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the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care agent who obtains information that the pregnant woman is a victim of human trafficking or coercion of abortion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appropriate law enforcement agency of the suspected human trafficking or coercion of abortion, if, before submitting the report, the care agent: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to the pregnant woman a written disclosure that the woman's identifying information will be provided in the report;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written disclosure described by Paragraph (A), the pregnant woman consents to the care agent submitting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information on the methods available for the woman to report human trafficking or coercion of abortion to the appropriate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request a unique identifying number, devoid of the pregnant woman's personally identifiable information, from the system developed by the commission to certify that the woman received the resource access assistance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an authentication system that provides the pregnant woman a unique identifying number required under this section.  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care agent to request a unique identifying number for the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physician who is to perform or induce an abortion to verify the unique identifying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identity of an individual pregnant woman, care agent, or physician, who is to perform or induce the abortion, is not disclosed in the authentication system;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individually identifying information of the pregnant woman, care agent, or physician as soon as the information is not needed to verify the unique identifying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any information to the care agent or contracting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initiate or complete services offered under this section to obtain an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accepting a resource assistance offer, shall retain access to the offer until the second anniversary of the date of acceptance, regardless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or induced on or after April 1, 2023.  An abortion performed or induced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the Act using other appropriations available for the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