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87S10603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certain gender-affirming therapy and counseling to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GENDER-AFFIRMING THERAPY AND COUNSELING FOR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who 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means this state, a political subdivision of this state, or an agency of this state or a political subdivision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"Mental health provider" means a person licensed by this state to provide professional therapy or counseling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PROVISION OF CERTAIN GENDER-AFFIRMING THERAPY AND COUNSELING TO CHILDREN.  (a)  A mental health provider may not provide gender-affirming therapy or counseling to a child to treat gender dysphoria if the purpose of the therapy or counseling is to affirm a gender that is inconsistent with the child's biological sex, as determined by the sex organs, chromosomes, and endogenous profiles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not prohibit or restrict in any manner a mental health provider from providing gender-affirming therapy or counseling to a child for the purpose of affirming the gender of the child that is consistent with the child's biological sex, as determined by the sex organs, chromosomes, and endogenous profiles of the child, including therapy or counseling to help achieve the child's objectives of reducing, resolving, or addressing behaviors, mannerisms, or expressions related to gender identity or dysphoria.</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INJUNCTIVE RELIEF.  (a)  A mental health provider who is prohibited or restricted from providing gender-affirming therapy or counseling to a child in violation of Section 161.702(b) or the child who is the subject of the violation may bring an action in a district court in the county in which the violation occurred for injunctive relief to prevent further violation of that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claimant may recover reasonable expenses incurred in bringing an action under this section, including court costs, attorney's fees, investigation costs, witness fees, and deposition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