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B0F53" w14:paraId="4A248242" w14:textId="77777777" w:rsidTr="00345119">
        <w:tc>
          <w:tcPr>
            <w:tcW w:w="9576" w:type="dxa"/>
            <w:noWrap/>
          </w:tcPr>
          <w:p w14:paraId="352AE874" w14:textId="77777777" w:rsidR="008423E4" w:rsidRPr="0022177D" w:rsidRDefault="00AF28CD" w:rsidP="00CA070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5A5F454" w14:textId="77777777" w:rsidR="008423E4" w:rsidRPr="0022177D" w:rsidRDefault="008423E4" w:rsidP="00CA0708">
      <w:pPr>
        <w:jc w:val="center"/>
      </w:pPr>
    </w:p>
    <w:p w14:paraId="7A9B34A5" w14:textId="77777777" w:rsidR="008423E4" w:rsidRPr="00B31F0E" w:rsidRDefault="008423E4" w:rsidP="00CA0708"/>
    <w:p w14:paraId="2F3FA124" w14:textId="77777777" w:rsidR="008423E4" w:rsidRPr="00742794" w:rsidRDefault="008423E4" w:rsidP="00CA070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0F53" w14:paraId="5827746C" w14:textId="77777777" w:rsidTr="00345119">
        <w:tc>
          <w:tcPr>
            <w:tcW w:w="9576" w:type="dxa"/>
          </w:tcPr>
          <w:p w14:paraId="3715BE04" w14:textId="06B49AEE" w:rsidR="008423E4" w:rsidRPr="00861995" w:rsidRDefault="00AF28CD" w:rsidP="00CA0708">
            <w:pPr>
              <w:jc w:val="right"/>
            </w:pPr>
            <w:r>
              <w:t>H.B. 200</w:t>
            </w:r>
          </w:p>
        </w:tc>
      </w:tr>
      <w:tr w:rsidR="009B0F53" w14:paraId="277344DF" w14:textId="77777777" w:rsidTr="00345119">
        <w:tc>
          <w:tcPr>
            <w:tcW w:w="9576" w:type="dxa"/>
          </w:tcPr>
          <w:p w14:paraId="7CAA2C52" w14:textId="110E19CD" w:rsidR="008423E4" w:rsidRPr="00861995" w:rsidRDefault="00AF28CD" w:rsidP="00120394">
            <w:pPr>
              <w:jc w:val="right"/>
            </w:pPr>
            <w:r>
              <w:t xml:space="preserve">By: </w:t>
            </w:r>
            <w:r w:rsidR="00120394">
              <w:t>Landgraf</w:t>
            </w:r>
          </w:p>
        </w:tc>
      </w:tr>
      <w:tr w:rsidR="009B0F53" w14:paraId="2264D2F2" w14:textId="77777777" w:rsidTr="00345119">
        <w:tc>
          <w:tcPr>
            <w:tcW w:w="9576" w:type="dxa"/>
          </w:tcPr>
          <w:p w14:paraId="0C25D4E3" w14:textId="4C72B6DE" w:rsidR="008423E4" w:rsidRPr="00861995" w:rsidRDefault="00AF28CD" w:rsidP="00CA0708">
            <w:pPr>
              <w:jc w:val="right"/>
            </w:pPr>
            <w:r>
              <w:t>Environmental Regulation</w:t>
            </w:r>
          </w:p>
        </w:tc>
      </w:tr>
      <w:tr w:rsidR="009B0F53" w14:paraId="61ED0687" w14:textId="77777777" w:rsidTr="00345119">
        <w:tc>
          <w:tcPr>
            <w:tcW w:w="9576" w:type="dxa"/>
          </w:tcPr>
          <w:p w14:paraId="10FD5686" w14:textId="755EDDA4" w:rsidR="008423E4" w:rsidRDefault="00AF28CD" w:rsidP="00CA0708">
            <w:pPr>
              <w:jc w:val="right"/>
            </w:pPr>
            <w:r>
              <w:t>Committee Report (Unamended)</w:t>
            </w:r>
          </w:p>
        </w:tc>
      </w:tr>
    </w:tbl>
    <w:p w14:paraId="5D205D8E" w14:textId="77777777" w:rsidR="008423E4" w:rsidRDefault="008423E4" w:rsidP="00CA0708">
      <w:pPr>
        <w:tabs>
          <w:tab w:val="right" w:pos="9360"/>
        </w:tabs>
      </w:pPr>
    </w:p>
    <w:p w14:paraId="3DB1FBBC" w14:textId="77777777" w:rsidR="008423E4" w:rsidRDefault="008423E4" w:rsidP="00CA0708"/>
    <w:p w14:paraId="70132B65" w14:textId="77777777" w:rsidR="008423E4" w:rsidRDefault="008423E4" w:rsidP="00CA070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B0F53" w14:paraId="7705E091" w14:textId="77777777" w:rsidTr="00345119">
        <w:tc>
          <w:tcPr>
            <w:tcW w:w="9576" w:type="dxa"/>
          </w:tcPr>
          <w:p w14:paraId="2A74A233" w14:textId="77777777" w:rsidR="008423E4" w:rsidRPr="00A8133F" w:rsidRDefault="00AF28CD" w:rsidP="00CA070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77F5691" w14:textId="77777777" w:rsidR="008423E4" w:rsidRDefault="008423E4" w:rsidP="00CA0708"/>
          <w:p w14:paraId="4B28E2EC" w14:textId="3C14ED41" w:rsidR="008423E4" w:rsidRDefault="00AF28CD" w:rsidP="00CA0708">
            <w:pPr>
              <w:pStyle w:val="Header"/>
              <w:jc w:val="both"/>
            </w:pPr>
            <w:r>
              <w:t xml:space="preserve">The U.S. Nuclear Regulatory Commission (NRC) is reportedly poised to issue a license to allow for the storage of high-level radioactive waste near the only low-level radioactive waste disposal facility in Texas, which is located in Andrews County. The NRC </w:t>
            </w:r>
            <w:r>
              <w:t>could approve the license as early as September 13, 2021. If the license is issued, high-level radioactive waste from all over the country will be able to be stored in Texas. Earlier this summer, the Andrews County Commissioner's Court voted unanimously on</w:t>
            </w:r>
            <w:r>
              <w:t xml:space="preserve"> a resolution specifically opposing the storage of high-level radioactive waste in the county. </w:t>
            </w:r>
            <w:r w:rsidRPr="007845FE">
              <w:t>House Bill 200  aims to ban the importation, disposing, or storage of high-level radioactive waste in critical energy infrastructure zones</w:t>
            </w:r>
            <w:r>
              <w:t xml:space="preserve"> while giving the Texas</w:t>
            </w:r>
            <w:r>
              <w:t xml:space="preserve"> Commission on Environmental Quality</w:t>
            </w:r>
            <w:r w:rsidRPr="007845FE">
              <w:t xml:space="preserve"> rulemaking authority to designate critical energy infrastructure zones</w:t>
            </w:r>
            <w:r>
              <w:t xml:space="preserve"> based on</w:t>
            </w:r>
            <w:r w:rsidRPr="007845FE">
              <w:t xml:space="preserve"> parameters </w:t>
            </w:r>
            <w:r>
              <w:t>that factor</w:t>
            </w:r>
            <w:r w:rsidRPr="007845FE">
              <w:t xml:space="preserve"> in </w:t>
            </w:r>
            <w:r>
              <w:t xml:space="preserve">the </w:t>
            </w:r>
            <w:r w:rsidRPr="007845FE">
              <w:t>wind energy generation capacity, solar energy generation capacity, and natural gas or oil production within a</w:t>
            </w:r>
            <w:r w:rsidRPr="007845FE">
              <w:t xml:space="preserve"> county.</w:t>
            </w:r>
          </w:p>
          <w:p w14:paraId="7A96674D" w14:textId="77777777" w:rsidR="008423E4" w:rsidRPr="00E26B13" w:rsidRDefault="008423E4" w:rsidP="00CA0708">
            <w:pPr>
              <w:rPr>
                <w:b/>
              </w:rPr>
            </w:pPr>
          </w:p>
        </w:tc>
      </w:tr>
      <w:tr w:rsidR="009B0F53" w14:paraId="3CF56CAC" w14:textId="77777777" w:rsidTr="00345119">
        <w:tc>
          <w:tcPr>
            <w:tcW w:w="9576" w:type="dxa"/>
          </w:tcPr>
          <w:p w14:paraId="37851496" w14:textId="77777777" w:rsidR="0017725B" w:rsidRDefault="00AF28CD" w:rsidP="00CA07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773865A" w14:textId="77777777" w:rsidR="0017725B" w:rsidRDefault="0017725B" w:rsidP="00CA0708">
            <w:pPr>
              <w:rPr>
                <w:b/>
                <w:u w:val="single"/>
              </w:rPr>
            </w:pPr>
          </w:p>
          <w:p w14:paraId="75F5E596" w14:textId="77777777" w:rsidR="00A5086F" w:rsidRPr="00A5086F" w:rsidRDefault="00AF28CD" w:rsidP="00CA070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</w:t>
            </w:r>
            <w:r>
              <w:t>nity supervision, parole, or mandatory supervision.</w:t>
            </w:r>
          </w:p>
          <w:p w14:paraId="7575A2DA" w14:textId="77777777" w:rsidR="0017725B" w:rsidRPr="0017725B" w:rsidRDefault="0017725B" w:rsidP="00CA0708">
            <w:pPr>
              <w:rPr>
                <w:b/>
                <w:u w:val="single"/>
              </w:rPr>
            </w:pPr>
          </w:p>
        </w:tc>
      </w:tr>
      <w:tr w:rsidR="009B0F53" w14:paraId="5EC1F4AD" w14:textId="77777777" w:rsidTr="00345119">
        <w:tc>
          <w:tcPr>
            <w:tcW w:w="9576" w:type="dxa"/>
          </w:tcPr>
          <w:p w14:paraId="2E56D67B" w14:textId="77777777" w:rsidR="008423E4" w:rsidRPr="00A8133F" w:rsidRDefault="00AF28CD" w:rsidP="00CA070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6EF7E9" w14:textId="77777777" w:rsidR="008423E4" w:rsidRDefault="008423E4" w:rsidP="00CA0708"/>
          <w:p w14:paraId="40298D92" w14:textId="77777777" w:rsidR="00A5086F" w:rsidRDefault="00AF28CD" w:rsidP="00CA07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Commission on Environmental Quality in SECTION 1 of this bill.</w:t>
            </w:r>
          </w:p>
          <w:p w14:paraId="1528F169" w14:textId="77777777" w:rsidR="008423E4" w:rsidRPr="00E21FDC" w:rsidRDefault="008423E4" w:rsidP="00CA0708">
            <w:pPr>
              <w:rPr>
                <w:b/>
              </w:rPr>
            </w:pPr>
          </w:p>
        </w:tc>
      </w:tr>
      <w:tr w:rsidR="009B0F53" w14:paraId="4923FA66" w14:textId="77777777" w:rsidTr="00345119">
        <w:tc>
          <w:tcPr>
            <w:tcW w:w="9576" w:type="dxa"/>
          </w:tcPr>
          <w:p w14:paraId="51D47F24" w14:textId="77777777" w:rsidR="008423E4" w:rsidRPr="00A8133F" w:rsidRDefault="00AF28CD" w:rsidP="00CA070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01E704D" w14:textId="77777777" w:rsidR="008423E4" w:rsidRDefault="008423E4" w:rsidP="00CA0708"/>
          <w:p w14:paraId="0AC72D37" w14:textId="77777777" w:rsidR="000A7AF0" w:rsidRDefault="00AF28CD" w:rsidP="00CA0708">
            <w:pPr>
              <w:pStyle w:val="Header"/>
              <w:jc w:val="both"/>
            </w:pPr>
            <w:r>
              <w:t xml:space="preserve">H.B. 200 </w:t>
            </w:r>
            <w:r>
              <w:t>amends</w:t>
            </w:r>
            <w:r w:rsidR="00A5086F">
              <w:t xml:space="preserve"> the Health and Safety Code to require the Texas Commission on Environmental Quality (TCEQ) to</w:t>
            </w:r>
            <w:r>
              <w:t xml:space="preserve"> establish criteria and procedures for designating areas where oil and gas activities or other energy-related activities occur as critical energy infrastruc</w:t>
            </w:r>
            <w:r>
              <w:t>ture zones</w:t>
            </w:r>
            <w:r w:rsidR="00A5086F">
              <w:t xml:space="preserve"> and to prohibit a</w:t>
            </w:r>
            <w:r w:rsidR="00A5086F" w:rsidRPr="000A7AF0">
              <w:t xml:space="preserve"> person </w:t>
            </w:r>
            <w:r w:rsidR="00A5086F">
              <w:t>from</w:t>
            </w:r>
            <w:r w:rsidR="00A5086F" w:rsidRPr="000A7AF0">
              <w:t xml:space="preserve"> impor</w:t>
            </w:r>
            <w:r w:rsidR="00A5086F">
              <w:t>ting</w:t>
            </w:r>
            <w:r w:rsidR="00A5086F" w:rsidRPr="000A7AF0">
              <w:t xml:space="preserve"> into, dispos</w:t>
            </w:r>
            <w:r w:rsidR="00A5086F">
              <w:t>ing</w:t>
            </w:r>
            <w:r w:rsidR="00A5086F" w:rsidRPr="000A7AF0">
              <w:t xml:space="preserve"> of, or stor</w:t>
            </w:r>
            <w:r w:rsidR="00A5086F">
              <w:t>ing</w:t>
            </w:r>
            <w:r w:rsidR="00A5086F" w:rsidRPr="000A7AF0">
              <w:t xml:space="preserve"> high-level radioactive waste in an area of </w:t>
            </w:r>
            <w:r w:rsidR="00A5086F">
              <w:t>Texas</w:t>
            </w:r>
            <w:r w:rsidR="00A5086F" w:rsidRPr="000A7AF0">
              <w:t xml:space="preserve"> designated as a critical energy infrastructure zone.</w:t>
            </w:r>
            <w:r w:rsidR="00A5086F">
              <w:t xml:space="preserve"> </w:t>
            </w:r>
            <w:r>
              <w:t xml:space="preserve">In establishing the criteria and procedures, the </w:t>
            </w:r>
            <w:r w:rsidR="00A5086F">
              <w:t>TCEQ must</w:t>
            </w:r>
            <w:r>
              <w:t xml:space="preserve"> consider esta</w:t>
            </w:r>
            <w:r>
              <w:t>blishing critical energy infrastructure zones in counties with more than:</w:t>
            </w:r>
          </w:p>
          <w:p w14:paraId="161E5865" w14:textId="77777777" w:rsidR="000A7AF0" w:rsidRDefault="00AF28CD" w:rsidP="00CA070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100 megawatts of installed solar energy generation capacity;</w:t>
            </w:r>
          </w:p>
          <w:p w14:paraId="2531E420" w14:textId="77777777" w:rsidR="000A7AF0" w:rsidRDefault="00AF28CD" w:rsidP="00CA070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100 megawatts of installed wind generation capacity;</w:t>
            </w:r>
          </w:p>
          <w:p w14:paraId="06095368" w14:textId="77777777" w:rsidR="000A7AF0" w:rsidRDefault="00AF28CD" w:rsidP="00CA070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10,000,000 barrels of oil produced annually; or</w:t>
            </w:r>
          </w:p>
          <w:p w14:paraId="2ED15D9A" w14:textId="77777777" w:rsidR="000A7AF0" w:rsidRDefault="00AF28CD" w:rsidP="00CA070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2,000,000 MCF of nat</w:t>
            </w:r>
            <w:r>
              <w:t>ural gas produced annually.</w:t>
            </w:r>
          </w:p>
          <w:p w14:paraId="124699A4" w14:textId="77777777" w:rsidR="007F7A1A" w:rsidRDefault="00AF28CD" w:rsidP="00CA0708">
            <w:pPr>
              <w:pStyle w:val="Header"/>
              <w:jc w:val="both"/>
            </w:pPr>
            <w:r w:rsidRPr="007F7A1A">
              <w:t>For purposes of the bill's provisions, "high-level radioactive waste" is defined by reference to 42 U.S.C. Section 10101(12) and includes spent nuclear fuel, defined by reference to 42 U.S.C. Section 10101(23)</w:t>
            </w:r>
            <w:r>
              <w:t>.</w:t>
            </w:r>
          </w:p>
          <w:p w14:paraId="47EB873C" w14:textId="77777777" w:rsidR="007F7A1A" w:rsidRDefault="007F7A1A" w:rsidP="00CA0708">
            <w:pPr>
              <w:pStyle w:val="Header"/>
              <w:jc w:val="both"/>
            </w:pPr>
          </w:p>
          <w:p w14:paraId="3100A5DA" w14:textId="45F2B890" w:rsidR="009C36CD" w:rsidRPr="009C36CD" w:rsidRDefault="00AF28CD" w:rsidP="00CA0708">
            <w:pPr>
              <w:pStyle w:val="Header"/>
              <w:jc w:val="both"/>
            </w:pPr>
            <w:r>
              <w:t>H.B. 200 establi</w:t>
            </w:r>
            <w:r>
              <w:t>shes that the</w:t>
            </w:r>
            <w:r w:rsidR="000A7AF0">
              <w:t xml:space="preserve"> designation of an area as a critical energy infrastructure zone remains in effect until </w:t>
            </w:r>
            <w:r w:rsidR="00A5086F">
              <w:t>TCEQ</w:t>
            </w:r>
            <w:r w:rsidR="000A7AF0">
              <w:t xml:space="preserve"> revokes the designation under procedures adopted by </w:t>
            </w:r>
            <w:r w:rsidR="00A5086F">
              <w:t xml:space="preserve">TCEQ and </w:t>
            </w:r>
            <w:r>
              <w:t xml:space="preserve">further establishes that </w:t>
            </w:r>
            <w:r w:rsidR="00A5086F">
              <w:t>TCEQ</w:t>
            </w:r>
            <w:r w:rsidR="000A7AF0">
              <w:t xml:space="preserve"> may amend </w:t>
            </w:r>
            <w:r w:rsidR="00A5086F">
              <w:t xml:space="preserve">a </w:t>
            </w:r>
            <w:r w:rsidR="006819DA">
              <w:t xml:space="preserve">critical energy infrastructure </w:t>
            </w:r>
            <w:r w:rsidR="00A5086F">
              <w:t>zone's</w:t>
            </w:r>
            <w:r w:rsidR="000A7AF0">
              <w:t xml:space="preserve"> boundaries.</w:t>
            </w:r>
            <w:r w:rsidR="00A5086F">
              <w:t xml:space="preserve"> The bill requires TCEQ to</w:t>
            </w:r>
            <w:r w:rsidR="000A7AF0">
              <w:t xml:space="preserve"> adopt rules necessary to implement </w:t>
            </w:r>
            <w:r w:rsidR="00A5086F">
              <w:t>t</w:t>
            </w:r>
            <w:r>
              <w:t>he bill's</w:t>
            </w:r>
            <w:r w:rsidR="00A5086F">
              <w:t xml:space="preserve"> provisions</w:t>
            </w:r>
            <w:r w:rsidR="000A7AF0">
              <w:t>.</w:t>
            </w:r>
          </w:p>
          <w:p w14:paraId="00E76BEC" w14:textId="77777777" w:rsidR="008423E4" w:rsidRPr="00835628" w:rsidRDefault="008423E4" w:rsidP="00CA0708">
            <w:pPr>
              <w:rPr>
                <w:b/>
              </w:rPr>
            </w:pPr>
          </w:p>
        </w:tc>
      </w:tr>
      <w:tr w:rsidR="009B0F53" w14:paraId="61AC794B" w14:textId="77777777" w:rsidTr="00345119">
        <w:tc>
          <w:tcPr>
            <w:tcW w:w="9576" w:type="dxa"/>
          </w:tcPr>
          <w:p w14:paraId="044A07B5" w14:textId="77777777" w:rsidR="008423E4" w:rsidRPr="00A8133F" w:rsidRDefault="00AF28CD" w:rsidP="00CA070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71651DE" w14:textId="77777777" w:rsidR="008423E4" w:rsidRDefault="008423E4" w:rsidP="00CA0708"/>
          <w:p w14:paraId="1E4F8472" w14:textId="77777777" w:rsidR="008423E4" w:rsidRPr="003624F2" w:rsidRDefault="00AF28CD" w:rsidP="00CA07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the 91st day after the last day of the legislative session.</w:t>
            </w:r>
          </w:p>
          <w:p w14:paraId="6B98D83C" w14:textId="77777777" w:rsidR="008423E4" w:rsidRPr="00233FDB" w:rsidRDefault="008423E4" w:rsidP="00CA0708">
            <w:pPr>
              <w:rPr>
                <w:b/>
              </w:rPr>
            </w:pPr>
          </w:p>
        </w:tc>
      </w:tr>
    </w:tbl>
    <w:p w14:paraId="30B62A0F" w14:textId="77777777" w:rsidR="008423E4" w:rsidRPr="00BE0E75" w:rsidRDefault="008423E4" w:rsidP="00CA0708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577845EF" w14:textId="77777777" w:rsidR="004108C3" w:rsidRPr="008423E4" w:rsidRDefault="004108C3" w:rsidP="00CA070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539E5" w14:textId="77777777" w:rsidR="00000000" w:rsidRDefault="00AF28CD">
      <w:r>
        <w:separator/>
      </w:r>
    </w:p>
  </w:endnote>
  <w:endnote w:type="continuationSeparator" w:id="0">
    <w:p w14:paraId="07FF00F5" w14:textId="77777777" w:rsidR="00000000" w:rsidRDefault="00AF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6083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0F53" w14:paraId="2756472F" w14:textId="77777777" w:rsidTr="009C1E9A">
      <w:trPr>
        <w:cantSplit/>
      </w:trPr>
      <w:tc>
        <w:tcPr>
          <w:tcW w:w="0" w:type="pct"/>
        </w:tcPr>
        <w:p w14:paraId="7F7853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3A32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A797E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57B1E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F54E8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0F53" w14:paraId="3028B253" w14:textId="77777777" w:rsidTr="009C1E9A">
      <w:trPr>
        <w:cantSplit/>
      </w:trPr>
      <w:tc>
        <w:tcPr>
          <w:tcW w:w="0" w:type="pct"/>
        </w:tcPr>
        <w:p w14:paraId="33F5AC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EBFB5E" w14:textId="0A7EC06B" w:rsidR="00EC379B" w:rsidRPr="009C1E9A" w:rsidRDefault="00AF28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87S2 1480</w:t>
          </w:r>
        </w:p>
      </w:tc>
      <w:tc>
        <w:tcPr>
          <w:tcW w:w="2453" w:type="pct"/>
        </w:tcPr>
        <w:p w14:paraId="62173A69" w14:textId="7C11513D" w:rsidR="00EC379B" w:rsidRDefault="00AF28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55CCE">
            <w:t>21.239.609</w:t>
          </w:r>
          <w:r>
            <w:fldChar w:fldCharType="end"/>
          </w:r>
        </w:p>
      </w:tc>
    </w:tr>
    <w:tr w:rsidR="009B0F53" w14:paraId="7EC49A63" w14:textId="77777777" w:rsidTr="009C1E9A">
      <w:trPr>
        <w:cantSplit/>
      </w:trPr>
      <w:tc>
        <w:tcPr>
          <w:tcW w:w="0" w:type="pct"/>
        </w:tcPr>
        <w:p w14:paraId="244DEE6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CBE92A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60C9F8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D4FF0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0F53" w14:paraId="120BC9E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763C52B" w14:textId="2B55E28B" w:rsidR="00EC379B" w:rsidRDefault="00AF28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5CC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98FF0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94C9E3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6992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C2F21" w14:textId="77777777" w:rsidR="00000000" w:rsidRDefault="00AF28CD">
      <w:r>
        <w:separator/>
      </w:r>
    </w:p>
  </w:footnote>
  <w:footnote w:type="continuationSeparator" w:id="0">
    <w:p w14:paraId="06B51AF6" w14:textId="77777777" w:rsidR="00000000" w:rsidRDefault="00AF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DEA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11A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3BE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505AA"/>
    <w:multiLevelType w:val="hybridMultilevel"/>
    <w:tmpl w:val="6C1CF12C"/>
    <w:lvl w:ilvl="0" w:tplc="9382658A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EE525D3A" w:tentative="1">
      <w:start w:val="1"/>
      <w:numFmt w:val="lowerLetter"/>
      <w:lvlText w:val="%2."/>
      <w:lvlJc w:val="left"/>
      <w:pPr>
        <w:ind w:left="1440" w:hanging="360"/>
      </w:pPr>
    </w:lvl>
    <w:lvl w:ilvl="2" w:tplc="0786F514" w:tentative="1">
      <w:start w:val="1"/>
      <w:numFmt w:val="lowerRoman"/>
      <w:lvlText w:val="%3."/>
      <w:lvlJc w:val="right"/>
      <w:pPr>
        <w:ind w:left="2160" w:hanging="180"/>
      </w:pPr>
    </w:lvl>
    <w:lvl w:ilvl="3" w:tplc="ADAAE636" w:tentative="1">
      <w:start w:val="1"/>
      <w:numFmt w:val="decimal"/>
      <w:lvlText w:val="%4."/>
      <w:lvlJc w:val="left"/>
      <w:pPr>
        <w:ind w:left="2880" w:hanging="360"/>
      </w:pPr>
    </w:lvl>
    <w:lvl w:ilvl="4" w:tplc="40928B00" w:tentative="1">
      <w:start w:val="1"/>
      <w:numFmt w:val="lowerLetter"/>
      <w:lvlText w:val="%5."/>
      <w:lvlJc w:val="left"/>
      <w:pPr>
        <w:ind w:left="3600" w:hanging="360"/>
      </w:pPr>
    </w:lvl>
    <w:lvl w:ilvl="5" w:tplc="24289218" w:tentative="1">
      <w:start w:val="1"/>
      <w:numFmt w:val="lowerRoman"/>
      <w:lvlText w:val="%6."/>
      <w:lvlJc w:val="right"/>
      <w:pPr>
        <w:ind w:left="4320" w:hanging="180"/>
      </w:pPr>
    </w:lvl>
    <w:lvl w:ilvl="6" w:tplc="50A2E3EA" w:tentative="1">
      <w:start w:val="1"/>
      <w:numFmt w:val="decimal"/>
      <w:lvlText w:val="%7."/>
      <w:lvlJc w:val="left"/>
      <w:pPr>
        <w:ind w:left="5040" w:hanging="360"/>
      </w:pPr>
    </w:lvl>
    <w:lvl w:ilvl="7" w:tplc="17AA5AFA" w:tentative="1">
      <w:start w:val="1"/>
      <w:numFmt w:val="lowerLetter"/>
      <w:lvlText w:val="%8."/>
      <w:lvlJc w:val="left"/>
      <w:pPr>
        <w:ind w:left="5760" w:hanging="360"/>
      </w:pPr>
    </w:lvl>
    <w:lvl w:ilvl="8" w:tplc="A044D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E53C4"/>
    <w:multiLevelType w:val="hybridMultilevel"/>
    <w:tmpl w:val="8654CE0A"/>
    <w:lvl w:ilvl="0" w:tplc="37E01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24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A9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E6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2F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848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EE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4F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8C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F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A7AF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394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CCE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19DA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5FE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746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7F7A1A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0F53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86F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28CD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23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708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6ACCD5-9595-4EC6-A39B-C985ADE4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08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0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08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0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0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2678</Characters>
  <Application>Microsoft Office Word</Application>
  <DocSecurity>4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87S2 1480</dc:subject>
  <dc:creator>State of Texas</dc:creator>
  <dc:description>HB 200 by Landgraf-(H)Environmental Regulation</dc:description>
  <cp:lastModifiedBy>Damian Duarte</cp:lastModifiedBy>
  <cp:revision>2</cp:revision>
  <cp:lastPrinted>2003-11-26T17:21:00Z</cp:lastPrinted>
  <dcterms:created xsi:type="dcterms:W3CDTF">2021-08-30T21:09:00Z</dcterms:created>
  <dcterms:modified xsi:type="dcterms:W3CDTF">2021-08-30T21:09:00Z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21.239.609</vt:lpwstr>
  </property>
</Properties>
</file>