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F575D" w14:paraId="0E014D0C" w14:textId="77777777" w:rsidTr="00345119">
        <w:tc>
          <w:tcPr>
            <w:tcW w:w="9576" w:type="dxa"/>
            <w:noWrap/>
          </w:tcPr>
          <w:p w14:paraId="2D862334" w14:textId="77777777" w:rsidR="008423E4" w:rsidRPr="0022177D" w:rsidRDefault="00AF5704" w:rsidP="00FC612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2F57FF4" w14:textId="77777777" w:rsidR="008423E4" w:rsidRPr="0022177D" w:rsidRDefault="008423E4" w:rsidP="00FC612E">
      <w:pPr>
        <w:jc w:val="center"/>
      </w:pPr>
    </w:p>
    <w:p w14:paraId="7F3A8F20" w14:textId="77777777" w:rsidR="008423E4" w:rsidRPr="00B31F0E" w:rsidRDefault="008423E4" w:rsidP="00FC612E"/>
    <w:p w14:paraId="0491B684" w14:textId="77777777" w:rsidR="008423E4" w:rsidRPr="00742794" w:rsidRDefault="008423E4" w:rsidP="00FC612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F575D" w14:paraId="39C9FB77" w14:textId="77777777" w:rsidTr="00345119">
        <w:tc>
          <w:tcPr>
            <w:tcW w:w="9576" w:type="dxa"/>
          </w:tcPr>
          <w:p w14:paraId="65138B0A" w14:textId="2A835A4C" w:rsidR="008423E4" w:rsidRPr="00861995" w:rsidRDefault="00AF5704" w:rsidP="00FC612E">
            <w:pPr>
              <w:jc w:val="right"/>
            </w:pPr>
            <w:r>
              <w:t>S.B. 4</w:t>
            </w:r>
          </w:p>
        </w:tc>
      </w:tr>
      <w:tr w:rsidR="009F575D" w14:paraId="43DB03D1" w14:textId="77777777" w:rsidTr="00345119">
        <w:tc>
          <w:tcPr>
            <w:tcW w:w="9576" w:type="dxa"/>
          </w:tcPr>
          <w:p w14:paraId="14C0CF3D" w14:textId="56086F3F" w:rsidR="008423E4" w:rsidRPr="00861995" w:rsidRDefault="00AF5704" w:rsidP="00FC612E">
            <w:pPr>
              <w:jc w:val="right"/>
            </w:pPr>
            <w:r>
              <w:t xml:space="preserve">By: </w:t>
            </w:r>
            <w:r w:rsidR="008D70EA">
              <w:t>Lucio</w:t>
            </w:r>
          </w:p>
        </w:tc>
      </w:tr>
      <w:tr w:rsidR="009F575D" w14:paraId="3F3F99CE" w14:textId="77777777" w:rsidTr="00345119">
        <w:tc>
          <w:tcPr>
            <w:tcW w:w="9576" w:type="dxa"/>
          </w:tcPr>
          <w:p w14:paraId="442E4CA8" w14:textId="57CE5209" w:rsidR="008423E4" w:rsidRPr="00861995" w:rsidRDefault="00AF5704" w:rsidP="00FC612E">
            <w:pPr>
              <w:jc w:val="right"/>
            </w:pPr>
            <w:r>
              <w:t>Public Health</w:t>
            </w:r>
          </w:p>
        </w:tc>
      </w:tr>
      <w:tr w:rsidR="009F575D" w14:paraId="3A230432" w14:textId="77777777" w:rsidTr="00345119">
        <w:tc>
          <w:tcPr>
            <w:tcW w:w="9576" w:type="dxa"/>
          </w:tcPr>
          <w:p w14:paraId="05FC4656" w14:textId="7F0CB945" w:rsidR="008423E4" w:rsidRDefault="00AF5704" w:rsidP="00FC612E">
            <w:pPr>
              <w:jc w:val="right"/>
            </w:pPr>
            <w:r>
              <w:t>Committee Report (Unamended)</w:t>
            </w:r>
          </w:p>
        </w:tc>
      </w:tr>
    </w:tbl>
    <w:p w14:paraId="6C64B96B" w14:textId="77777777" w:rsidR="008423E4" w:rsidRDefault="008423E4" w:rsidP="00FC612E">
      <w:pPr>
        <w:tabs>
          <w:tab w:val="right" w:pos="9360"/>
        </w:tabs>
      </w:pPr>
    </w:p>
    <w:p w14:paraId="6F2A341B" w14:textId="77777777" w:rsidR="008423E4" w:rsidRDefault="008423E4" w:rsidP="00FC612E"/>
    <w:p w14:paraId="411DE1ED" w14:textId="77777777" w:rsidR="008423E4" w:rsidRDefault="008423E4" w:rsidP="00FC612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F575D" w14:paraId="62E710BD" w14:textId="77777777" w:rsidTr="00345119">
        <w:tc>
          <w:tcPr>
            <w:tcW w:w="9576" w:type="dxa"/>
          </w:tcPr>
          <w:p w14:paraId="32710D27" w14:textId="77777777" w:rsidR="008423E4" w:rsidRPr="00A8133F" w:rsidRDefault="00AF5704" w:rsidP="00FC612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1252A8" w14:textId="77777777" w:rsidR="008423E4" w:rsidRDefault="008423E4" w:rsidP="00FC612E"/>
          <w:p w14:paraId="77F9C76D" w14:textId="41E4F8DA" w:rsidR="008423E4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At least some a</w:t>
            </w:r>
            <w:r w:rsidRPr="002E5D9A">
              <w:t>bortion</w:t>
            </w:r>
            <w:r>
              <w:t>-</w:t>
            </w:r>
            <w:r w:rsidRPr="002E5D9A">
              <w:t xml:space="preserve">inducing drugs </w:t>
            </w:r>
            <w:r>
              <w:t>are included</w:t>
            </w:r>
            <w:r w:rsidRPr="002E5D9A">
              <w:t xml:space="preserve"> in the FDA's Risk Evaluation</w:t>
            </w:r>
            <w:r>
              <w:t xml:space="preserve"> and</w:t>
            </w:r>
            <w:r w:rsidRPr="002E5D9A">
              <w:t xml:space="preserve"> Mitigation Strategies</w:t>
            </w:r>
            <w:r>
              <w:t xml:space="preserve"> program</w:t>
            </w:r>
            <w:r w:rsidRPr="002E5D9A">
              <w:t xml:space="preserve"> due to their potential harmful impact</w:t>
            </w:r>
            <w:r>
              <w:t>, according to some. Interested parties contend that if</w:t>
            </w:r>
            <w:r w:rsidRPr="002E5D9A">
              <w:t xml:space="preserve"> th</w:t>
            </w:r>
            <w:r>
              <w:t>e federal</w:t>
            </w:r>
            <w:r w:rsidRPr="002E5D9A">
              <w:t xml:space="preserve"> classification </w:t>
            </w:r>
            <w:r>
              <w:t>were to change while the legislature is not in session</w:t>
            </w:r>
            <w:r w:rsidRPr="002E5D9A">
              <w:t>, Texas would not be able to maintain these safety standards until the legislatur</w:t>
            </w:r>
            <w:r w:rsidRPr="002E5D9A">
              <w:t xml:space="preserve">e </w:t>
            </w:r>
            <w:r>
              <w:t>re</w:t>
            </w:r>
            <w:r w:rsidRPr="002E5D9A">
              <w:t>convenes.</w:t>
            </w:r>
            <w:r>
              <w:t xml:space="preserve"> It has been suggested that</w:t>
            </w:r>
            <w:r w:rsidRPr="002E5D9A">
              <w:t xml:space="preserve"> </w:t>
            </w:r>
            <w:r>
              <w:t>enhancing a state abortion complication reporting system and regulating drug-induced abortion procedures will give the state</w:t>
            </w:r>
            <w:r w:rsidRPr="002E5D9A">
              <w:t xml:space="preserve"> a mechanism to track the health and safety impacts of these drugs with data report</w:t>
            </w:r>
            <w:r>
              <w:t>s</w:t>
            </w:r>
            <w:r w:rsidRPr="002E5D9A">
              <w:t>.</w:t>
            </w:r>
            <w:r>
              <w:t xml:space="preserve"> </w:t>
            </w:r>
            <w:r w:rsidR="00ED77CD">
              <w:t xml:space="preserve">S.B. 4 </w:t>
            </w:r>
            <w:r>
              <w:t xml:space="preserve">amends current law relating to abortion complication reporting and regulation of drug-induced abortion procedures, providers, and facilities and </w:t>
            </w:r>
            <w:r w:rsidRPr="002E5D9A">
              <w:t>creates</w:t>
            </w:r>
            <w:r>
              <w:t xml:space="preserve"> an applicable criminal offense</w:t>
            </w:r>
            <w:r w:rsidRPr="002E5D9A">
              <w:t>.</w:t>
            </w:r>
          </w:p>
          <w:p w14:paraId="44649CFB" w14:textId="77777777" w:rsidR="008423E4" w:rsidRPr="00E26B13" w:rsidRDefault="008423E4" w:rsidP="00FC612E">
            <w:pPr>
              <w:rPr>
                <w:b/>
              </w:rPr>
            </w:pPr>
          </w:p>
        </w:tc>
      </w:tr>
      <w:tr w:rsidR="009F575D" w14:paraId="7DAC0462" w14:textId="77777777" w:rsidTr="00345119">
        <w:tc>
          <w:tcPr>
            <w:tcW w:w="9576" w:type="dxa"/>
          </w:tcPr>
          <w:p w14:paraId="557A0E68" w14:textId="77777777" w:rsidR="0017725B" w:rsidRDefault="00AF5704" w:rsidP="00FC61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878D43" w14:textId="77777777" w:rsidR="0017725B" w:rsidRDefault="0017725B" w:rsidP="00FC612E">
            <w:pPr>
              <w:rPr>
                <w:b/>
                <w:u w:val="single"/>
              </w:rPr>
            </w:pPr>
          </w:p>
          <w:p w14:paraId="5943293E" w14:textId="77777777" w:rsidR="0017725B" w:rsidRPr="0017725B" w:rsidRDefault="00AF5704" w:rsidP="00FC612E">
            <w:pPr>
              <w:jc w:val="both"/>
            </w:pPr>
            <w:r>
              <w:t>It is the committee's opinion that this bi</w:t>
            </w:r>
            <w:r>
              <w:t>ll expressly does one or more of the following: creates a criminal offense, increases the punishment for an existing criminal offense or category of offenses, or changes the eligibility of a person for community supervision, parole, or mandatory supervisio</w:t>
            </w:r>
            <w:r>
              <w:t>n.</w:t>
            </w:r>
          </w:p>
          <w:p w14:paraId="00920A91" w14:textId="77777777" w:rsidR="0017725B" w:rsidRPr="0017725B" w:rsidRDefault="0017725B" w:rsidP="00FC612E">
            <w:pPr>
              <w:rPr>
                <w:b/>
                <w:u w:val="single"/>
              </w:rPr>
            </w:pPr>
          </w:p>
        </w:tc>
      </w:tr>
      <w:tr w:rsidR="009F575D" w14:paraId="0B83143B" w14:textId="77777777" w:rsidTr="00345119">
        <w:tc>
          <w:tcPr>
            <w:tcW w:w="9576" w:type="dxa"/>
          </w:tcPr>
          <w:p w14:paraId="4B312E25" w14:textId="77777777" w:rsidR="008423E4" w:rsidRPr="00A8133F" w:rsidRDefault="00AF5704" w:rsidP="00FC612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C42147" w14:textId="77777777" w:rsidR="008423E4" w:rsidRDefault="008423E4" w:rsidP="00FC612E"/>
          <w:p w14:paraId="573D607B" w14:textId="77777777" w:rsidR="008423E4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8AB37A8" w14:textId="77777777" w:rsidR="008423E4" w:rsidRPr="00E21FDC" w:rsidRDefault="008423E4" w:rsidP="00FC612E">
            <w:pPr>
              <w:rPr>
                <w:b/>
              </w:rPr>
            </w:pPr>
          </w:p>
        </w:tc>
      </w:tr>
      <w:tr w:rsidR="009F575D" w14:paraId="3DFFD47C" w14:textId="77777777" w:rsidTr="00345119">
        <w:tc>
          <w:tcPr>
            <w:tcW w:w="9576" w:type="dxa"/>
          </w:tcPr>
          <w:p w14:paraId="3EABDA00" w14:textId="77777777" w:rsidR="008423E4" w:rsidRPr="00A8133F" w:rsidRDefault="00AF5704" w:rsidP="00FC612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D6FF2D" w14:textId="77777777" w:rsidR="008423E4" w:rsidRDefault="008423E4" w:rsidP="00FC612E"/>
          <w:p w14:paraId="10083EA3" w14:textId="089E9C19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ED77CD">
              <w:t xml:space="preserve">4 </w:t>
            </w:r>
            <w:r>
              <w:t>amends the Health and Safety Code to prohibit a person from providing an abortion</w:t>
            </w:r>
            <w:r w:rsidR="008E3896">
              <w:noBreakHyphen/>
            </w:r>
            <w:r>
              <w:t>inducing drug to</w:t>
            </w:r>
            <w:r w:rsidRPr="00897F7D">
              <w:t xml:space="preserve"> a pregnant woman </w:t>
            </w:r>
            <w:r>
              <w:t>without satisfying</w:t>
            </w:r>
            <w:r w:rsidRPr="00897F7D">
              <w:t xml:space="preserve"> the </w:t>
            </w:r>
            <w:r w:rsidRPr="007775E2">
              <w:t>applicable informed consent requirements for abortions</w:t>
            </w:r>
            <w:r>
              <w:t xml:space="preserve"> and to require a physician who </w:t>
            </w:r>
            <w:r w:rsidRPr="00897F7D">
              <w:t>provides an abortion-inducing d</w:t>
            </w:r>
            <w:r w:rsidRPr="00897F7D">
              <w:t xml:space="preserve">rug </w:t>
            </w:r>
            <w:r>
              <w:t xml:space="preserve">to </w:t>
            </w:r>
            <w:r w:rsidRPr="00897F7D">
              <w:t xml:space="preserve">comply with </w:t>
            </w:r>
            <w:r w:rsidRPr="007775E2">
              <w:t xml:space="preserve">the applicable </w:t>
            </w:r>
            <w:r>
              <w:t xml:space="preserve">physician </w:t>
            </w:r>
            <w:r w:rsidRPr="007775E2">
              <w:t>reporting requirements</w:t>
            </w:r>
            <w:r>
              <w:t xml:space="preserve"> </w:t>
            </w:r>
            <w:r w:rsidRPr="001C2B9C">
              <w:t>regarding</w:t>
            </w:r>
            <w:r>
              <w:t xml:space="preserve"> abortions. The bill creates a state jail felony offense for a person who </w:t>
            </w:r>
            <w:r w:rsidRPr="00B63772">
              <w:t>intentionally, knowingly, or recklessly violates</w:t>
            </w:r>
            <w:r>
              <w:t xml:space="preserve"> provisions relating to abortion-inducing drugs but exempt</w:t>
            </w:r>
            <w:r>
              <w:t>s a</w:t>
            </w:r>
            <w:r w:rsidRPr="00B63772">
              <w:t xml:space="preserve"> pregnant woman on whom </w:t>
            </w:r>
            <w:r>
              <w:t>a</w:t>
            </w:r>
            <w:r w:rsidRPr="00B63772">
              <w:t xml:space="preserve"> drug-induced abortion is attempted, induced, or performed</w:t>
            </w:r>
            <w:r>
              <w:t xml:space="preserve"> from criminal liability</w:t>
            </w:r>
            <w:r w:rsidRPr="00B63772">
              <w:t>.</w:t>
            </w:r>
            <w:r>
              <w:t xml:space="preserve"> </w:t>
            </w:r>
            <w:r w:rsidRPr="009B2476">
              <w:t>Conduct constituting such an offense may also be the basis for an administrative violation</w:t>
            </w:r>
            <w:r>
              <w:t xml:space="preserve"> for which the Texas Medical Board may take disciplina</w:t>
            </w:r>
            <w:r>
              <w:t>ry action or assess an administrative penalty</w:t>
            </w:r>
            <w:r w:rsidRPr="009B2476">
              <w:t>.</w:t>
            </w:r>
            <w:r>
              <w:t xml:space="preserve"> The bill's provisions relating to the offense apply only to </w:t>
            </w:r>
            <w:r w:rsidRPr="00AB43B9">
              <w:t xml:space="preserve">an abortion performed or induced on or after </w:t>
            </w:r>
            <w:r w:rsidR="004A0900">
              <w:t>January</w:t>
            </w:r>
            <w:r w:rsidRPr="00AB43B9">
              <w:t xml:space="preserve"> 1, 20</w:t>
            </w:r>
            <w:r w:rsidR="004A0900">
              <w:t>22</w:t>
            </w:r>
            <w:r w:rsidRPr="00AB43B9">
              <w:t>.</w:t>
            </w:r>
            <w:r>
              <w:t xml:space="preserve"> </w:t>
            </w:r>
          </w:p>
          <w:p w14:paraId="2757AC2A" w14:textId="77777777" w:rsidR="00FE33A2" w:rsidRDefault="00FE33A2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747C88" w14:textId="002C6E2D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ED77CD">
              <w:t xml:space="preserve">4 </w:t>
            </w:r>
            <w:r>
              <w:t>prohibits a</w:t>
            </w:r>
            <w:r w:rsidRPr="00B63772">
              <w:t xml:space="preserve"> state executive or admini</w:t>
            </w:r>
            <w:r>
              <w:t>strative official from declining to enfor</w:t>
            </w:r>
            <w:r>
              <w:t>ce</w:t>
            </w:r>
            <w:r w:rsidRPr="00B63772">
              <w:t xml:space="preserve"> </w:t>
            </w:r>
            <w:r>
              <w:t xml:space="preserve">provisions relating to abortion-inducing drugs, </w:t>
            </w:r>
            <w:r w:rsidRPr="00B63772">
              <w:t>or adopt</w:t>
            </w:r>
            <w:r>
              <w:t>ing</w:t>
            </w:r>
            <w:r w:rsidRPr="00B63772">
              <w:t xml:space="preserve"> a</w:t>
            </w:r>
            <w:r>
              <w:t xml:space="preserve"> construction of those provisions </w:t>
            </w:r>
            <w:r w:rsidRPr="00B63772">
              <w:t xml:space="preserve">in a way that narrows </w:t>
            </w:r>
            <w:r>
              <w:t>the</w:t>
            </w:r>
            <w:r w:rsidR="00E856B4">
              <w:t>ir</w:t>
            </w:r>
            <w:r>
              <w:t xml:space="preserve"> </w:t>
            </w:r>
            <w:r w:rsidRPr="00B63772">
              <w:t xml:space="preserve">applicability, based on the official's own beliefs </w:t>
            </w:r>
            <w:r>
              <w:t xml:space="preserve">on the requirements of </w:t>
            </w:r>
            <w:r w:rsidRPr="00B63772">
              <w:t xml:space="preserve">the state or federal constitution, unless the official </w:t>
            </w:r>
            <w:r w:rsidRPr="00B63772">
              <w:t>is enjoined by a state or federal cour</w:t>
            </w:r>
            <w:r>
              <w:t>t from enforcing those provisions</w:t>
            </w:r>
            <w:r w:rsidRPr="00B63772">
              <w:t>.</w:t>
            </w:r>
            <w:r>
              <w:t xml:space="preserve"> </w:t>
            </w:r>
          </w:p>
          <w:p w14:paraId="34DA4CDE" w14:textId="77777777" w:rsidR="009C36CD" w:rsidRDefault="009C36CD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AF6168" w14:textId="77777777" w:rsidR="00F16BE8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264A5">
              <w:t xml:space="preserve">S.B. </w:t>
            </w:r>
            <w:r w:rsidR="00ED77CD">
              <w:t xml:space="preserve">4 </w:t>
            </w:r>
            <w:r>
              <w:t>extends</w:t>
            </w:r>
            <w:r w:rsidRPr="00C13F7A">
              <w:t xml:space="preserve"> abortion complication reporting requirements</w:t>
            </w:r>
            <w:r>
              <w:t xml:space="preserve"> to apply to complications resulting from induced abortions and revises existing complication reporting requirements to al</w:t>
            </w:r>
            <w:r>
              <w:t>so apply to a physician who:</w:t>
            </w:r>
          </w:p>
          <w:p w14:paraId="15C6F290" w14:textId="77777777" w:rsidR="00F16BE8" w:rsidRDefault="00AF5704" w:rsidP="00FC612E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induces at an abortion facility an abortion that results in an abortion complication diagnosed or treated by that physician; or </w:t>
            </w:r>
          </w:p>
          <w:p w14:paraId="26BB48B4" w14:textId="0C902FCE" w:rsidR="00F16BE8" w:rsidRDefault="00AF5704" w:rsidP="00FC612E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diagnoses or treats a complication that is the result of an abortion performed or induced by anoth</w:t>
            </w:r>
            <w:r>
              <w:t xml:space="preserve">er physician, regardless of whether the diagnosis or treatment occurs at an abortion facility. </w:t>
            </w:r>
          </w:p>
          <w:p w14:paraId="35C3A3DC" w14:textId="392A4C3B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expands the list of events and outcomes that are expressly included in</w:t>
            </w:r>
            <w:r w:rsidRPr="003264A5">
              <w:t xml:space="preserve"> the definition of "abortion complication" </w:t>
            </w:r>
            <w:r>
              <w:t>for purposes of those reporting requir</w:t>
            </w:r>
            <w:r>
              <w:t xml:space="preserve">ements to include the following: </w:t>
            </w:r>
          </w:p>
          <w:p w14:paraId="2D720624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blood clots resulting in pulmonary embolism or deep vein thrombosis;</w:t>
            </w:r>
          </w:p>
          <w:p w14:paraId="0A62570B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failure to actually terminate the pregnancy</w:t>
            </w:r>
            <w:r>
              <w:t>;</w:t>
            </w:r>
          </w:p>
          <w:p w14:paraId="79B1EACE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pelvic inflammatory disease</w:t>
            </w:r>
            <w:r>
              <w:t>;</w:t>
            </w:r>
          </w:p>
          <w:p w14:paraId="3989C850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endometritis</w:t>
            </w:r>
            <w:r>
              <w:t>;</w:t>
            </w:r>
          </w:p>
          <w:p w14:paraId="75D6790E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missed ectopic pregnancy</w:t>
            </w:r>
            <w:r>
              <w:t>;</w:t>
            </w:r>
          </w:p>
          <w:p w14:paraId="3FEEFFAD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cardiac arrest</w:t>
            </w:r>
            <w:r>
              <w:t>;</w:t>
            </w:r>
          </w:p>
          <w:p w14:paraId="4ED377C6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respiratory arrest</w:t>
            </w:r>
            <w:r>
              <w:t>;</w:t>
            </w:r>
          </w:p>
          <w:p w14:paraId="21A6BE4C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ren</w:t>
            </w:r>
            <w:r w:rsidRPr="00487D34">
              <w:t>al failure</w:t>
            </w:r>
            <w:r>
              <w:t>;</w:t>
            </w:r>
          </w:p>
          <w:p w14:paraId="14DF3B82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metabolic disorder</w:t>
            </w:r>
            <w:r>
              <w:t>;</w:t>
            </w:r>
          </w:p>
          <w:p w14:paraId="52FAB228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embolism</w:t>
            </w:r>
            <w:r>
              <w:t>;</w:t>
            </w:r>
          </w:p>
          <w:p w14:paraId="769190C1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coma</w:t>
            </w:r>
            <w:r>
              <w:t>;</w:t>
            </w:r>
          </w:p>
          <w:p w14:paraId="496B2F5A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placenta previa in subsequent pregnancies</w:t>
            </w:r>
            <w:r>
              <w:t>;</w:t>
            </w:r>
          </w:p>
          <w:p w14:paraId="3004779F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487D34">
              <w:t>preterm delivery in subsequent pregnancies</w:t>
            </w:r>
            <w:r>
              <w:t>;</w:t>
            </w:r>
          </w:p>
          <w:p w14:paraId="366DE621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274155">
              <w:t>fluid accumulation in the abdomen</w:t>
            </w:r>
            <w:r>
              <w:t>;</w:t>
            </w:r>
          </w:p>
          <w:p w14:paraId="312251E3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274155">
              <w:t xml:space="preserve">hemolytic reaction resulting from the administration of ABO-incompatible blood or </w:t>
            </w:r>
            <w:r w:rsidRPr="00274155">
              <w:t>blood products</w:t>
            </w:r>
            <w:r>
              <w:t>;</w:t>
            </w:r>
          </w:p>
          <w:p w14:paraId="0CAC3966" w14:textId="7777777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274155">
              <w:t>adverse reactions to anesthesia or other drugs; or</w:t>
            </w:r>
          </w:p>
          <w:p w14:paraId="4622BFEB" w14:textId="47D73317" w:rsidR="00FE33A2" w:rsidRDefault="00AF5704" w:rsidP="00FC612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274155">
              <w:t xml:space="preserve">any other adverse event as defined by the </w:t>
            </w:r>
            <w:r w:rsidR="00663516">
              <w:t>FDA</w:t>
            </w:r>
            <w:r w:rsidRPr="00274155">
              <w:t>'s criteria provided by the MedWatch Reporting System.</w:t>
            </w:r>
          </w:p>
          <w:p w14:paraId="3E29673F" w14:textId="1286BA72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clarifies that </w:t>
            </w:r>
            <w:r w:rsidRPr="001C4C99">
              <w:t xml:space="preserve">the definition </w:t>
            </w:r>
            <w:r w:rsidR="00F16BE8">
              <w:t xml:space="preserve">of "abortion complication," as expanded by the bill, </w:t>
            </w:r>
            <w:r w:rsidRPr="001C4C99">
              <w:t>applies to the term "adverse event."</w:t>
            </w:r>
            <w:r>
              <w:t xml:space="preserve"> </w:t>
            </w:r>
          </w:p>
          <w:p w14:paraId="556AC3A9" w14:textId="40A566EE" w:rsidR="00FE33A2" w:rsidRDefault="00FE33A2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42F3AC" w14:textId="77777777" w:rsidR="00FC612E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 law uses terms such as "give," "sell," "dispense," "administer," and "prescribe" in conjunction with the term “provide” with regard to provisions relating to abortion-inducing drugs.  S.B. 4:</w:t>
            </w:r>
          </w:p>
          <w:p w14:paraId="758AF5DB" w14:textId="77777777" w:rsidR="00FC612E" w:rsidRDefault="00AF5704" w:rsidP="00FC612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consolidates t</w:t>
            </w:r>
            <w:r>
              <w:t xml:space="preserve">hese terms into a new statutory definition of “provide,” defined by the bill as </w:t>
            </w:r>
            <w:r w:rsidRPr="00422063">
              <w:t>any act of giving, selling, dispensing, administering, transferring possession</w:t>
            </w:r>
            <w:r>
              <w:t xml:space="preserve">, </w:t>
            </w:r>
            <w:r w:rsidRPr="00422063">
              <w:t>or otherwise providing or prescribing an abortion-inducing drug</w:t>
            </w:r>
            <w:r>
              <w:t xml:space="preserve">; and </w:t>
            </w:r>
          </w:p>
          <w:p w14:paraId="6F06D3CF" w14:textId="28AB5C58" w:rsidR="00FC612E" w:rsidRDefault="00AF5704" w:rsidP="00FC612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makes related conforming </w:t>
            </w:r>
            <w:r>
              <w:t>changes.</w:t>
            </w:r>
          </w:p>
          <w:p w14:paraId="140E5273" w14:textId="7E3A0F58" w:rsidR="007B71A6" w:rsidRDefault="007B71A6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E11A2F" w14:textId="72D297CE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ED77CD">
              <w:t xml:space="preserve">4 </w:t>
            </w:r>
            <w:r>
              <w:t xml:space="preserve">revises definitions for provisions relating to abortion-inducing drugs by doing the following: </w:t>
            </w:r>
          </w:p>
          <w:p w14:paraId="05B67D95" w14:textId="77777777" w:rsidR="00FE33A2" w:rsidRDefault="00AF5704" w:rsidP="00FC612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including </w:t>
            </w:r>
            <w:r w:rsidRPr="00AB0BC9">
              <w:t>misoprostol (Cytotec) and methotrexate</w:t>
            </w:r>
            <w:r>
              <w:t xml:space="preserve"> in the definition of "abortion-inducing drug";</w:t>
            </w:r>
          </w:p>
          <w:p w14:paraId="44FC5E06" w14:textId="7E76997B" w:rsidR="00FE33A2" w:rsidRDefault="00AF5704" w:rsidP="00FC612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DC7368">
              <w:t xml:space="preserve">clarifying that </w:t>
            </w:r>
            <w:r>
              <w:t>a</w:t>
            </w:r>
            <w:r w:rsidRPr="00DC7368">
              <w:t xml:space="preserve"> "medical abortion" </w:t>
            </w:r>
            <w:r>
              <w:t xml:space="preserve">may </w:t>
            </w:r>
            <w:r w:rsidRPr="00422063">
              <w:t xml:space="preserve">also </w:t>
            </w:r>
            <w:r>
              <w:t>b</w:t>
            </w:r>
            <w:r>
              <w:t>e referred to</w:t>
            </w:r>
            <w:r w:rsidRPr="00422063">
              <w:t xml:space="preserve"> as</w:t>
            </w:r>
            <w:r>
              <w:t xml:space="preserve"> a</w:t>
            </w:r>
            <w:r w:rsidRPr="00422063">
              <w:t xml:space="preserve"> "medication</w:t>
            </w:r>
            <w:r>
              <w:t xml:space="preserve"> abortion</w:t>
            </w:r>
            <w:r w:rsidRPr="00422063">
              <w:t>,"</w:t>
            </w:r>
            <w:r>
              <w:t xml:space="preserve"> a "chemical abortion," a "drug-induced abortion,"</w:t>
            </w:r>
            <w:r w:rsidRPr="00422063">
              <w:t xml:space="preserve"> "RU-486," </w:t>
            </w:r>
            <w:r>
              <w:t xml:space="preserve">or the </w:t>
            </w:r>
            <w:r w:rsidRPr="00422063">
              <w:t>"Mifeprex regim</w:t>
            </w:r>
            <w:r>
              <w:t>en";</w:t>
            </w:r>
            <w:r w:rsidR="007B71A6">
              <w:t xml:space="preserve"> and</w:t>
            </w:r>
          </w:p>
          <w:p w14:paraId="1599D0B1" w14:textId="2F595EBA" w:rsidR="00FE33A2" w:rsidRDefault="00AF5704" w:rsidP="00FC612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defining "adverse event" or "abortion complication" as </w:t>
            </w:r>
            <w:r w:rsidRPr="00422063">
              <w:t xml:space="preserve">any </w:t>
            </w:r>
            <w:r>
              <w:t xml:space="preserve">harmful event or </w:t>
            </w:r>
            <w:r w:rsidRPr="00422063">
              <w:t xml:space="preserve">adverse </w:t>
            </w:r>
            <w:r>
              <w:t>outcome with respect to</w:t>
            </w:r>
            <w:r w:rsidRPr="00422063">
              <w:t xml:space="preserve"> </w:t>
            </w:r>
            <w:r>
              <w:t>a patient relat</w:t>
            </w:r>
            <w:r>
              <w:t xml:space="preserve">ed to </w:t>
            </w:r>
            <w:r w:rsidRPr="00422063">
              <w:t>an abortion, including the</w:t>
            </w:r>
            <w:r>
              <w:t xml:space="preserve"> abortion</w:t>
            </w:r>
            <w:r w:rsidRPr="00422063">
              <w:t xml:space="preserve"> complications </w:t>
            </w:r>
            <w:r w:rsidRPr="00C85AFB">
              <w:t>that must be reported</w:t>
            </w:r>
            <w:r w:rsidRPr="00422063">
              <w:t>.</w:t>
            </w:r>
            <w:r>
              <w:t xml:space="preserve"> </w:t>
            </w:r>
          </w:p>
          <w:p w14:paraId="48E7D457" w14:textId="77777777" w:rsidR="00FE33A2" w:rsidRDefault="00FE33A2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C9F6BC" w14:textId="1293CACF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524B74">
              <w:t xml:space="preserve">.B. </w:t>
            </w:r>
            <w:r w:rsidR="00ED77CD">
              <w:t>4</w:t>
            </w:r>
            <w:r w:rsidR="00ED77CD" w:rsidRPr="00524B74">
              <w:t xml:space="preserve"> </w:t>
            </w:r>
            <w:r>
              <w:t>clarifies that</w:t>
            </w:r>
            <w:r w:rsidRPr="00524B74">
              <w:t xml:space="preserve"> the provision of an abortion-inducing drug</w:t>
            </w:r>
            <w:r w:rsidR="0089406F">
              <w:t xml:space="preserve"> </w:t>
            </w:r>
            <w:r>
              <w:t xml:space="preserve">must </w:t>
            </w:r>
            <w:r w:rsidRPr="00524B74">
              <w:t>satisfy the protocol authorized by applicable state law</w:t>
            </w:r>
            <w:r>
              <w:t xml:space="preserve">. </w:t>
            </w:r>
            <w:r w:rsidRPr="00B76A99">
              <w:t>The bill removes language</w:t>
            </w:r>
            <w:r w:rsidRPr="00143EF7">
              <w:t xml:space="preserve"> requiring the provisio</w:t>
            </w:r>
            <w:r w:rsidRPr="00143EF7">
              <w:t xml:space="preserve">n of an abortion-inducing drug </w:t>
            </w:r>
            <w:r>
              <w:t>to satisfy the</w:t>
            </w:r>
            <w:r w:rsidRPr="00B76A99">
              <w:t xml:space="preserve"> protocol</w:t>
            </w:r>
            <w:r w:rsidRPr="00143EF7">
              <w:t xml:space="preserve"> tested and authorized by the FDA as outlined in the drug's final printed label and repeals a provision</w:t>
            </w:r>
            <w:r w:rsidRPr="00B76A99">
              <w:t xml:space="preserve"> authorizing </w:t>
            </w:r>
            <w:r>
              <w:t xml:space="preserve">the provision of an </w:t>
            </w:r>
            <w:r w:rsidRPr="00B76A99">
              <w:t>abortion</w:t>
            </w:r>
            <w:r w:rsidR="008E3896">
              <w:noBreakHyphen/>
            </w:r>
            <w:r w:rsidRPr="00B76A99">
              <w:t xml:space="preserve">inducing drug in the dosage amount prescribed by </w:t>
            </w:r>
            <w:r>
              <w:t>certain</w:t>
            </w:r>
            <w:r w:rsidRPr="00B76A99">
              <w:t xml:space="preserve"> </w:t>
            </w:r>
            <w:r w:rsidRPr="00B76A99">
              <w:t>clinical management guidelines defined by the American Congress of Obstetricians and Gynecologists Practice Bulletin.</w:t>
            </w:r>
            <w:r>
              <w:t xml:space="preserve"> </w:t>
            </w:r>
            <w:r w:rsidR="008B279A">
              <w:t xml:space="preserve">The bill repeals a definition of the terms </w:t>
            </w:r>
            <w:r w:rsidR="004B345F">
              <w:t>"Mifeprex regimen,</w:t>
            </w:r>
            <w:r w:rsidR="00CD462B">
              <w:t>"</w:t>
            </w:r>
            <w:r w:rsidR="004B345F">
              <w:t xml:space="preserve"> </w:t>
            </w:r>
            <w:r w:rsidR="004B345F" w:rsidRPr="008B279A">
              <w:t>"RU-486 regimen," or "RU-486</w:t>
            </w:r>
            <w:r w:rsidR="004B345F">
              <w:t xml:space="preserve">" as the abortion-inducing drug regimen </w:t>
            </w:r>
            <w:r w:rsidR="004B345F" w:rsidRPr="004B345F">
              <w:t xml:space="preserve">approved by the </w:t>
            </w:r>
            <w:r w:rsidR="004B345F">
              <w:t>FDA</w:t>
            </w:r>
            <w:r w:rsidR="004B345F" w:rsidRPr="004B345F">
              <w:t xml:space="preserve"> that consists of administering mifepristone and misoprostol</w:t>
            </w:r>
            <w:r w:rsidR="009A096D">
              <w:t xml:space="preserve"> and also repeals a definition of the terms </w:t>
            </w:r>
            <w:r w:rsidR="008B279A">
              <w:t>"final printed label" or "FPL</w:t>
            </w:r>
            <w:r w:rsidR="009A096D">
              <w:t>.</w:t>
            </w:r>
            <w:r w:rsidR="008B279A">
              <w:t xml:space="preserve">" </w:t>
            </w:r>
          </w:p>
          <w:p w14:paraId="5F0B37B4" w14:textId="77777777" w:rsidR="00FE33A2" w:rsidRDefault="00FE33A2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64D114" w14:textId="03EEA6DD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ED77CD">
              <w:t xml:space="preserve">4 </w:t>
            </w:r>
            <w:r>
              <w:t>prohibits a</w:t>
            </w:r>
            <w:r w:rsidRPr="00E4361B">
              <w:t xml:space="preserve"> manufacturer, supplier, physician, or any other person </w:t>
            </w:r>
            <w:r>
              <w:t>from</w:t>
            </w:r>
            <w:r w:rsidRPr="00E4361B">
              <w:t xml:space="preserve"> provid</w:t>
            </w:r>
            <w:r>
              <w:t>ing</w:t>
            </w:r>
            <w:r w:rsidRPr="00E4361B">
              <w:t xml:space="preserve"> </w:t>
            </w:r>
            <w:r>
              <w:t xml:space="preserve">a patient </w:t>
            </w:r>
            <w:r>
              <w:t xml:space="preserve">with </w:t>
            </w:r>
            <w:r w:rsidRPr="00E4361B">
              <w:t xml:space="preserve">any abortion-inducing drug </w:t>
            </w:r>
            <w:r>
              <w:t>by</w:t>
            </w:r>
            <w:r w:rsidRPr="00E4361B">
              <w:t xml:space="preserve"> courier, delivery, or mail service.</w:t>
            </w:r>
            <w:r>
              <w:t xml:space="preserve"> The bill requires a physician, before</w:t>
            </w:r>
            <w:r w:rsidRPr="00E4361B">
              <w:t xml:space="preserve"> provid</w:t>
            </w:r>
            <w:r>
              <w:t>ing</w:t>
            </w:r>
            <w:r w:rsidRPr="00E4361B">
              <w:t xml:space="preserve"> an abortion-inducing drug</w:t>
            </w:r>
            <w:r>
              <w:t>, to do the following:</w:t>
            </w:r>
          </w:p>
          <w:p w14:paraId="52B5C5A7" w14:textId="77777777" w:rsidR="00FE33A2" w:rsidRDefault="00AF5704" w:rsidP="00FC612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4361B">
              <w:t>independently verify that a pregnancy exists;</w:t>
            </w:r>
          </w:p>
          <w:p w14:paraId="226C8C42" w14:textId="728CF9E7" w:rsidR="00FE33A2" w:rsidRDefault="00AF5704" w:rsidP="00FC612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4361B">
              <w:t xml:space="preserve">determine the </w:t>
            </w:r>
            <w:r>
              <w:t xml:space="preserve">pregnant </w:t>
            </w:r>
            <w:r w:rsidRPr="00E4361B">
              <w:t xml:space="preserve">woman's blood type, </w:t>
            </w:r>
            <w:r w:rsidRPr="00E4361B">
              <w:t>and</w:t>
            </w:r>
            <w:r>
              <w:t xml:space="preserve"> for a woman who </w:t>
            </w:r>
            <w:r w:rsidRPr="00E4361B">
              <w:t xml:space="preserve">is Rh negative, offer to administer Rh immunoglobulin (RhoGAM) at the time the </w:t>
            </w:r>
            <w:r>
              <w:t>abortion-inducing drug is administered or</w:t>
            </w:r>
            <w:r w:rsidR="004A0900">
              <w:t xml:space="preserve"> used or</w:t>
            </w:r>
            <w:r>
              <w:t xml:space="preserve"> the </w:t>
            </w:r>
            <w:r w:rsidRPr="00E4361B">
              <w:t>abortion</w:t>
            </w:r>
            <w:r>
              <w:t xml:space="preserve"> is performed or induced</w:t>
            </w:r>
            <w:r w:rsidRPr="00E4361B">
              <w:t xml:space="preserve"> to prevent Rh incompatibility, complications, or miscarriage in future</w:t>
            </w:r>
            <w:r w:rsidRPr="00E4361B">
              <w:t xml:space="preserve"> pregnancies;</w:t>
            </w:r>
          </w:p>
          <w:p w14:paraId="394D8BBB" w14:textId="77777777" w:rsidR="00FE33A2" w:rsidRDefault="00AF5704" w:rsidP="00FC612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4361B">
              <w:t xml:space="preserve">document whether </w:t>
            </w:r>
            <w:r>
              <w:t>the pregnant woman</w:t>
            </w:r>
            <w:r w:rsidRPr="00E4361B">
              <w:t xml:space="preserve"> received treatment for Rh negativity, as diagnosed by the most accurate standard of medical care;</w:t>
            </w:r>
            <w:r>
              <w:t xml:space="preserve"> and</w:t>
            </w:r>
          </w:p>
          <w:p w14:paraId="6EF650E9" w14:textId="77777777" w:rsidR="00FE33A2" w:rsidRDefault="00AF5704" w:rsidP="00FC612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93620">
              <w:t>ensure the</w:t>
            </w:r>
            <w:r>
              <w:t xml:space="preserve"> physician</w:t>
            </w:r>
            <w:r w:rsidRPr="00993620">
              <w:t xml:space="preserve"> do</w:t>
            </w:r>
            <w:r>
              <w:t>es</w:t>
            </w:r>
            <w:r w:rsidRPr="00993620">
              <w:t xml:space="preserve"> not provide an abortion-inducing drug for a pregnant woman whose pregnancy is </w:t>
            </w:r>
            <w:r>
              <w:t>more than</w:t>
            </w:r>
            <w:r w:rsidRPr="00993620">
              <w:t xml:space="preserve"> 49 days</w:t>
            </w:r>
            <w:r>
              <w:t xml:space="preserve"> of</w:t>
            </w:r>
            <w:r w:rsidRPr="00993620">
              <w:t xml:space="preserve"> gestational ag</w:t>
            </w:r>
            <w:r>
              <w:t>e.</w:t>
            </w:r>
          </w:p>
          <w:p w14:paraId="7A8ADB86" w14:textId="0D90D139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physician's examination of the pregnant woman to be done in person and clarifies that the requirement for the physician to </w:t>
            </w:r>
            <w:r w:rsidRPr="00993620">
              <w:t>document</w:t>
            </w:r>
            <w:r>
              <w:t xml:space="preserve"> </w:t>
            </w:r>
            <w:r w:rsidRPr="00993620">
              <w:t xml:space="preserve">the </w:t>
            </w:r>
            <w:r>
              <w:t xml:space="preserve">gestational age and </w:t>
            </w:r>
            <w:r w:rsidRPr="00993620">
              <w:t>intrauterine location of the pregnancy</w:t>
            </w:r>
            <w:r>
              <w:t xml:space="preserve"> i</w:t>
            </w:r>
            <w:r>
              <w:t>s for the purpose of</w:t>
            </w:r>
            <w:r w:rsidRPr="00993620">
              <w:t xml:space="preserve"> </w:t>
            </w:r>
            <w:r>
              <w:t>determining whether an</w:t>
            </w:r>
            <w:r w:rsidRPr="00993620">
              <w:t xml:space="preserve"> ectopic pregnancy</w:t>
            </w:r>
            <w:r>
              <w:t xml:space="preserve"> exists. The bill clarifies that the woman's required follow-up visit must occur not later than the 14th day after the earliest date on which the abortion-inducing drug is administered or used or</w:t>
            </w:r>
            <w:r>
              <w:t xml:space="preserve"> the abortion is performed or induced and that the physician must assess any continued blood loss at that visit. </w:t>
            </w:r>
          </w:p>
          <w:p w14:paraId="3C149EA3" w14:textId="77777777" w:rsidR="00FE33A2" w:rsidRDefault="00FE33A2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16AFE6" w14:textId="540FF343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ED77CD">
              <w:t xml:space="preserve">4 </w:t>
            </w:r>
            <w:r>
              <w:t>establishes that nothing in the bill's provisions shall be construed as creating or recognizing a right to abortion and that it is not</w:t>
            </w:r>
            <w:r>
              <w:t xml:space="preserve"> the intention of the bill to make lawful an abortion that is otherwise </w:t>
            </w:r>
            <w:r w:rsidRPr="008B279A">
              <w:t>unlawful. The bill further establishes that nothing in its provisions repeals, replaces, or otherwise invalidates existing Texas laws, regulations, or policies</w:t>
            </w:r>
            <w:r w:rsidR="00EA635B">
              <w:t>, except</w:t>
            </w:r>
            <w:r w:rsidR="00B4734A">
              <w:t xml:space="preserve"> for the specific statutes that</w:t>
            </w:r>
            <w:r w:rsidR="00EA635B">
              <w:t xml:space="preserve"> the bill </w:t>
            </w:r>
            <w:r w:rsidR="00B4734A">
              <w:t xml:space="preserve">explicitly </w:t>
            </w:r>
            <w:r w:rsidR="00EA635B">
              <w:t xml:space="preserve">repeals. </w:t>
            </w:r>
            <w:r w:rsidRPr="008B279A">
              <w:t>The bill provides for the sev</w:t>
            </w:r>
            <w:r w:rsidRPr="00F07EAA">
              <w:t>erability of its provisions</w:t>
            </w:r>
            <w:r w:rsidR="00FB41E0" w:rsidRPr="008B279A">
              <w:t xml:space="preserve"> </w:t>
            </w:r>
            <w:r w:rsidR="00FB41E0">
              <w:t xml:space="preserve">and </w:t>
            </w:r>
            <w:r w:rsidR="00FB41E0" w:rsidRPr="008B279A">
              <w:t>sets out certain legislative findings</w:t>
            </w:r>
            <w:r w:rsidR="00FB41E0">
              <w:t xml:space="preserve"> relating to </w:t>
            </w:r>
            <w:r w:rsidR="00FB41E0" w:rsidRPr="00FB41E0">
              <w:t xml:space="preserve">the state's interest in protecting the health and welfare of </w:t>
            </w:r>
            <w:r w:rsidR="00FB41E0">
              <w:t>every woma</w:t>
            </w:r>
            <w:r w:rsidR="00FB41E0" w:rsidRPr="00FB41E0">
              <w:t xml:space="preserve">n considering a drug-induced abortion, </w:t>
            </w:r>
            <w:r w:rsidR="00FB41E0">
              <w:t xml:space="preserve">the occurrence of certain </w:t>
            </w:r>
            <w:r w:rsidR="00FB41E0" w:rsidRPr="00FB41E0">
              <w:t>complications from the use of Mifeprex or mifepristone, and the increased failure rate and risk of complications with advancing gestational age</w:t>
            </w:r>
            <w:r w:rsidR="00E41C1A">
              <w:t>.</w:t>
            </w:r>
          </w:p>
          <w:p w14:paraId="02F43C57" w14:textId="1B54F567" w:rsidR="00CE4FD8" w:rsidRDefault="00CE4FD8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572E63" w14:textId="174A38A6" w:rsidR="00CE4FD8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Except for the bill's provisions relating to </w:t>
            </w:r>
            <w:r>
              <w:t>the criminal offense created by the bill for intentionally, knowingly, or recklessly violating statutory provisions relating to abortion-inducing drugs</w:t>
            </w:r>
            <w:r w:rsidR="007B71A6">
              <w:t>,</w:t>
            </w:r>
            <w:r>
              <w:t xml:space="preserve"> which apply </w:t>
            </w:r>
            <w:r w:rsidRPr="00CE4FD8">
              <w:t>only to an abortion performed or indu</w:t>
            </w:r>
            <w:r>
              <w:t>ced on or after January 1, 2022, the bill's provisions</w:t>
            </w:r>
            <w:r>
              <w:t xml:space="preserve"> apply only to an abortion performed or induced on or after the bill's effective date.</w:t>
            </w:r>
          </w:p>
          <w:p w14:paraId="4766FED8" w14:textId="77777777" w:rsidR="00FE33A2" w:rsidRDefault="00FE33A2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54B7AB6" w14:textId="4A2516D8" w:rsidR="00FE33A2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ED77CD">
              <w:t xml:space="preserve">4 </w:t>
            </w:r>
            <w:r w:rsidRPr="009B2476">
              <w:t>repeals</w:t>
            </w:r>
            <w:r>
              <w:t xml:space="preserve"> the following provisions of the Health and Safety Code:</w:t>
            </w:r>
          </w:p>
          <w:p w14:paraId="4BAF7494" w14:textId="77777777" w:rsidR="00FE33A2" w:rsidRDefault="00AF5704" w:rsidP="00FC612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C79E2">
              <w:t>Sections 171.061(3) and (6); and</w:t>
            </w:r>
          </w:p>
          <w:p w14:paraId="25183127" w14:textId="77777777" w:rsidR="00FE33A2" w:rsidRPr="009C36CD" w:rsidRDefault="00AF5704" w:rsidP="00FC612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FC79E2">
              <w:t>Section 171.063(b).</w:t>
            </w:r>
          </w:p>
          <w:p w14:paraId="2C226169" w14:textId="77777777" w:rsidR="008423E4" w:rsidRPr="00835628" w:rsidRDefault="008423E4" w:rsidP="00FC612E">
            <w:pPr>
              <w:rPr>
                <w:b/>
              </w:rPr>
            </w:pPr>
          </w:p>
        </w:tc>
      </w:tr>
      <w:tr w:rsidR="009F575D" w14:paraId="1FC665F2" w14:textId="77777777" w:rsidTr="00345119">
        <w:tc>
          <w:tcPr>
            <w:tcW w:w="9576" w:type="dxa"/>
          </w:tcPr>
          <w:p w14:paraId="1A875CA3" w14:textId="77777777" w:rsidR="008423E4" w:rsidRPr="00A8133F" w:rsidRDefault="00AF5704" w:rsidP="00FC612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5F9868C" w14:textId="77777777" w:rsidR="008423E4" w:rsidRDefault="008423E4" w:rsidP="00FC612E"/>
          <w:p w14:paraId="2D68926F" w14:textId="36564DA2" w:rsidR="008423E4" w:rsidRPr="002E0DD3" w:rsidRDefault="00AF5704" w:rsidP="00FC61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the </w:t>
            </w:r>
            <w:r w:rsidRPr="00FE33A2">
              <w:t>91st day after the last</w:t>
            </w:r>
            <w:r>
              <w:t xml:space="preserve"> day of the legislative session.</w:t>
            </w:r>
          </w:p>
        </w:tc>
      </w:tr>
    </w:tbl>
    <w:p w14:paraId="1941C28B" w14:textId="77777777" w:rsidR="008423E4" w:rsidRPr="00BE0E75" w:rsidRDefault="008423E4" w:rsidP="00FC612E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67A53" w14:textId="77777777" w:rsidR="00000000" w:rsidRDefault="00AF5704">
      <w:r>
        <w:separator/>
      </w:r>
    </w:p>
  </w:endnote>
  <w:endnote w:type="continuationSeparator" w:id="0">
    <w:p w14:paraId="606D8B35" w14:textId="77777777" w:rsidR="00000000" w:rsidRDefault="00AF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49CDF" w14:textId="77777777" w:rsidR="00BC7BAF" w:rsidRDefault="00BC7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F575D" w14:paraId="43604DEF" w14:textId="77777777" w:rsidTr="009C1E9A">
      <w:trPr>
        <w:cantSplit/>
      </w:trPr>
      <w:tc>
        <w:tcPr>
          <w:tcW w:w="0" w:type="pct"/>
        </w:tcPr>
        <w:p w14:paraId="035BDC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2703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BA454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00C4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76D1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F575D" w14:paraId="3F39B365" w14:textId="77777777" w:rsidTr="009C1E9A">
      <w:trPr>
        <w:cantSplit/>
      </w:trPr>
      <w:tc>
        <w:tcPr>
          <w:tcW w:w="0" w:type="pct"/>
        </w:tcPr>
        <w:p w14:paraId="609AA5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D31EF1" w14:textId="5524ABBE" w:rsidR="00EC379B" w:rsidRPr="009C1E9A" w:rsidRDefault="00AF5704" w:rsidP="008D70E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87S2 0958</w:t>
          </w:r>
        </w:p>
      </w:tc>
      <w:tc>
        <w:tcPr>
          <w:tcW w:w="2453" w:type="pct"/>
        </w:tcPr>
        <w:p w14:paraId="6956BA65" w14:textId="2E907143" w:rsidR="00EC379B" w:rsidRDefault="00AF5704" w:rsidP="007B71A6">
          <w:pPr>
            <w:pStyle w:val="Footer"/>
            <w:tabs>
              <w:tab w:val="clear" w:pos="8640"/>
              <w:tab w:val="left" w:pos="3210"/>
              <w:tab w:val="right" w:pos="4680"/>
              <w:tab w:val="right" w:pos="9360"/>
            </w:tabs>
          </w:pPr>
          <w:r>
            <w:tab/>
          </w:r>
          <w:r>
            <w:tab/>
          </w:r>
          <w:r w:rsidR="000F5843">
            <w:fldChar w:fldCharType="begin"/>
          </w:r>
          <w:r>
            <w:instrText xml:space="preserve"> DOCPROPERTY  OTID  \* MERGEFORMAT </w:instrText>
          </w:r>
          <w:r w:rsidR="000F5843">
            <w:fldChar w:fldCharType="separate"/>
          </w:r>
          <w:r w:rsidR="00BC7BAF">
            <w:t>21.234.18</w:t>
          </w:r>
          <w:r w:rsidR="000F5843">
            <w:fldChar w:fldCharType="end"/>
          </w:r>
        </w:p>
      </w:tc>
    </w:tr>
    <w:tr w:rsidR="009F575D" w14:paraId="37495EE1" w14:textId="77777777" w:rsidTr="009C1E9A">
      <w:trPr>
        <w:cantSplit/>
      </w:trPr>
      <w:tc>
        <w:tcPr>
          <w:tcW w:w="0" w:type="pct"/>
        </w:tcPr>
        <w:p w14:paraId="23A4097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0B5F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6968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C84D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F575D" w14:paraId="75DEA04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C9BFAC" w14:textId="72ACDDB8" w:rsidR="00EC379B" w:rsidRDefault="00AF570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37906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1ACAEC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B7476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57A1B" w14:textId="77777777" w:rsidR="00BC7BAF" w:rsidRDefault="00BC7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DFEC" w14:textId="77777777" w:rsidR="00000000" w:rsidRDefault="00AF5704">
      <w:r>
        <w:separator/>
      </w:r>
    </w:p>
  </w:footnote>
  <w:footnote w:type="continuationSeparator" w:id="0">
    <w:p w14:paraId="534F3FDD" w14:textId="77777777" w:rsidR="00000000" w:rsidRDefault="00AF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AC124" w14:textId="77777777" w:rsidR="00BC7BAF" w:rsidRDefault="00BC7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A954A" w14:textId="77777777" w:rsidR="00BC7BAF" w:rsidRDefault="00BC7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8238" w14:textId="77777777" w:rsidR="00BC7BAF" w:rsidRDefault="00BC7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5A"/>
    <w:multiLevelType w:val="hybridMultilevel"/>
    <w:tmpl w:val="D8DACBB4"/>
    <w:lvl w:ilvl="0" w:tplc="79B82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8A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A2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81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20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24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6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21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0D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EFE"/>
    <w:multiLevelType w:val="hybridMultilevel"/>
    <w:tmpl w:val="B036809E"/>
    <w:lvl w:ilvl="0" w:tplc="9CECA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45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AE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03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CF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4A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D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A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EA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684F"/>
    <w:multiLevelType w:val="hybridMultilevel"/>
    <w:tmpl w:val="C5F0059A"/>
    <w:lvl w:ilvl="0" w:tplc="5EC40FD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DBD6226C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CE983C1A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B945BB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C036D6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7362798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6A7C8E68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BD3418D2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7688CE1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1F26BFA"/>
    <w:multiLevelType w:val="hybridMultilevel"/>
    <w:tmpl w:val="59EC2294"/>
    <w:lvl w:ilvl="0" w:tplc="34F28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60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E1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4B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C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0D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03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E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60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7B23"/>
    <w:multiLevelType w:val="hybridMultilevel"/>
    <w:tmpl w:val="69C044BE"/>
    <w:lvl w:ilvl="0" w:tplc="B164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66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0B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EE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E3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B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0B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F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63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757EB"/>
    <w:multiLevelType w:val="hybridMultilevel"/>
    <w:tmpl w:val="51F6AE46"/>
    <w:lvl w:ilvl="0" w:tplc="A3BCD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42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09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5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5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E9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A1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7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0D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52683"/>
    <w:multiLevelType w:val="hybridMultilevel"/>
    <w:tmpl w:val="59DCA1B6"/>
    <w:lvl w:ilvl="0" w:tplc="59F6A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41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CF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E0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2F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00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A2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8C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27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A2"/>
    <w:rsid w:val="00000A70"/>
    <w:rsid w:val="000032B8"/>
    <w:rsid w:val="00003B06"/>
    <w:rsid w:val="000054B9"/>
    <w:rsid w:val="00007461"/>
    <w:rsid w:val="0000756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7B2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2C2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A3F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286C"/>
    <w:rsid w:val="0012371B"/>
    <w:rsid w:val="001245C8"/>
    <w:rsid w:val="00124653"/>
    <w:rsid w:val="001247C5"/>
    <w:rsid w:val="00127893"/>
    <w:rsid w:val="001312BB"/>
    <w:rsid w:val="0013223F"/>
    <w:rsid w:val="00137D90"/>
    <w:rsid w:val="00141FB6"/>
    <w:rsid w:val="00142F8E"/>
    <w:rsid w:val="00143C8B"/>
    <w:rsid w:val="00143EF7"/>
    <w:rsid w:val="00147530"/>
    <w:rsid w:val="0015331F"/>
    <w:rsid w:val="00156AB2"/>
    <w:rsid w:val="00160402"/>
    <w:rsid w:val="00160571"/>
    <w:rsid w:val="00161E93"/>
    <w:rsid w:val="001620F1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B9C"/>
    <w:rsid w:val="001C4C99"/>
    <w:rsid w:val="001C58A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5AC"/>
    <w:rsid w:val="001F3CB8"/>
    <w:rsid w:val="001F6B91"/>
    <w:rsid w:val="001F703C"/>
    <w:rsid w:val="00200B9E"/>
    <w:rsid w:val="00200BF5"/>
    <w:rsid w:val="002010D1"/>
    <w:rsid w:val="00201338"/>
    <w:rsid w:val="00203EE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42F"/>
    <w:rsid w:val="0024691D"/>
    <w:rsid w:val="00247D27"/>
    <w:rsid w:val="00250A50"/>
    <w:rsid w:val="00251ED5"/>
    <w:rsid w:val="00255EB6"/>
    <w:rsid w:val="00257429"/>
    <w:rsid w:val="00260FA4"/>
    <w:rsid w:val="00261183"/>
    <w:rsid w:val="002617FA"/>
    <w:rsid w:val="00262A66"/>
    <w:rsid w:val="00263140"/>
    <w:rsid w:val="002631C8"/>
    <w:rsid w:val="00265133"/>
    <w:rsid w:val="00265A23"/>
    <w:rsid w:val="00267841"/>
    <w:rsid w:val="002710C3"/>
    <w:rsid w:val="002734D6"/>
    <w:rsid w:val="00274155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650"/>
    <w:rsid w:val="002B7BA7"/>
    <w:rsid w:val="002C1C17"/>
    <w:rsid w:val="002C3203"/>
    <w:rsid w:val="002C3B07"/>
    <w:rsid w:val="002C532B"/>
    <w:rsid w:val="002C5713"/>
    <w:rsid w:val="002D05CC"/>
    <w:rsid w:val="002D305A"/>
    <w:rsid w:val="002E0DD3"/>
    <w:rsid w:val="002E1EBA"/>
    <w:rsid w:val="002E21B8"/>
    <w:rsid w:val="002E5D9A"/>
    <w:rsid w:val="002E774E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4A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63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7A4"/>
    <w:rsid w:val="00460EAD"/>
    <w:rsid w:val="00461B69"/>
    <w:rsid w:val="00462B3D"/>
    <w:rsid w:val="00474927"/>
    <w:rsid w:val="00475913"/>
    <w:rsid w:val="00480080"/>
    <w:rsid w:val="004824A7"/>
    <w:rsid w:val="00483AF0"/>
    <w:rsid w:val="00484167"/>
    <w:rsid w:val="00487D34"/>
    <w:rsid w:val="00492211"/>
    <w:rsid w:val="00492325"/>
    <w:rsid w:val="00492A6D"/>
    <w:rsid w:val="00494303"/>
    <w:rsid w:val="0049682B"/>
    <w:rsid w:val="004A03F7"/>
    <w:rsid w:val="004A081C"/>
    <w:rsid w:val="004A0900"/>
    <w:rsid w:val="004A123F"/>
    <w:rsid w:val="004A2172"/>
    <w:rsid w:val="004A4DA2"/>
    <w:rsid w:val="004B138F"/>
    <w:rsid w:val="004B345F"/>
    <w:rsid w:val="004B412A"/>
    <w:rsid w:val="004B576C"/>
    <w:rsid w:val="004B772A"/>
    <w:rsid w:val="004C302F"/>
    <w:rsid w:val="004C4609"/>
    <w:rsid w:val="004C4B8A"/>
    <w:rsid w:val="004C52EF"/>
    <w:rsid w:val="004C5B4A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0E1"/>
    <w:rsid w:val="00524B74"/>
    <w:rsid w:val="005269CE"/>
    <w:rsid w:val="005304B2"/>
    <w:rsid w:val="005336BD"/>
    <w:rsid w:val="00534A49"/>
    <w:rsid w:val="00536249"/>
    <w:rsid w:val="005363BB"/>
    <w:rsid w:val="00541B98"/>
    <w:rsid w:val="00543374"/>
    <w:rsid w:val="00543E69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8E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516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3F8"/>
    <w:rsid w:val="006F365D"/>
    <w:rsid w:val="006F4BB0"/>
    <w:rsid w:val="006F634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C69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5E2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1A6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09B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57D83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06F"/>
    <w:rsid w:val="008947A7"/>
    <w:rsid w:val="0089752B"/>
    <w:rsid w:val="00897E80"/>
    <w:rsid w:val="00897F7D"/>
    <w:rsid w:val="008A04FA"/>
    <w:rsid w:val="008A3188"/>
    <w:rsid w:val="008A3FDF"/>
    <w:rsid w:val="008A6418"/>
    <w:rsid w:val="008B05D8"/>
    <w:rsid w:val="008B0B3D"/>
    <w:rsid w:val="008B279A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70EA"/>
    <w:rsid w:val="008E3338"/>
    <w:rsid w:val="008E3896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6A9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620"/>
    <w:rsid w:val="0099403D"/>
    <w:rsid w:val="009940F3"/>
    <w:rsid w:val="00995B0B"/>
    <w:rsid w:val="00995FD4"/>
    <w:rsid w:val="009A096D"/>
    <w:rsid w:val="009A1883"/>
    <w:rsid w:val="009A39F5"/>
    <w:rsid w:val="009A4588"/>
    <w:rsid w:val="009A5EA5"/>
    <w:rsid w:val="009B00C2"/>
    <w:rsid w:val="009B2476"/>
    <w:rsid w:val="009B26AB"/>
    <w:rsid w:val="009B3476"/>
    <w:rsid w:val="009B39BC"/>
    <w:rsid w:val="009B5069"/>
    <w:rsid w:val="009B5B0B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75D"/>
    <w:rsid w:val="009F5802"/>
    <w:rsid w:val="009F64AE"/>
    <w:rsid w:val="009F6EAD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3A2"/>
    <w:rsid w:val="00A46902"/>
    <w:rsid w:val="00A50CDB"/>
    <w:rsid w:val="00A51F3E"/>
    <w:rsid w:val="00A5364B"/>
    <w:rsid w:val="00A54142"/>
    <w:rsid w:val="00A54C42"/>
    <w:rsid w:val="00A57086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0BC9"/>
    <w:rsid w:val="00AB1655"/>
    <w:rsid w:val="00AB1873"/>
    <w:rsid w:val="00AB2C05"/>
    <w:rsid w:val="00AB3536"/>
    <w:rsid w:val="00AB43B9"/>
    <w:rsid w:val="00AB474B"/>
    <w:rsid w:val="00AB5CCC"/>
    <w:rsid w:val="00AB74E2"/>
    <w:rsid w:val="00AC0CFF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704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4A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772"/>
    <w:rsid w:val="00B65695"/>
    <w:rsid w:val="00B66526"/>
    <w:rsid w:val="00B665A3"/>
    <w:rsid w:val="00B67A5A"/>
    <w:rsid w:val="00B73BB4"/>
    <w:rsid w:val="00B76A9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9C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BA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F7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3CB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AF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62B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FD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84F"/>
    <w:rsid w:val="00D35728"/>
    <w:rsid w:val="00D37BCF"/>
    <w:rsid w:val="00D401A6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579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368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00A"/>
    <w:rsid w:val="00E31135"/>
    <w:rsid w:val="00E317BA"/>
    <w:rsid w:val="00E3469B"/>
    <w:rsid w:val="00E3679D"/>
    <w:rsid w:val="00E37906"/>
    <w:rsid w:val="00E3795D"/>
    <w:rsid w:val="00E4098A"/>
    <w:rsid w:val="00E41C1A"/>
    <w:rsid w:val="00E41CAE"/>
    <w:rsid w:val="00E42014"/>
    <w:rsid w:val="00E42B85"/>
    <w:rsid w:val="00E42BB2"/>
    <w:rsid w:val="00E43263"/>
    <w:rsid w:val="00E4361B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6B4"/>
    <w:rsid w:val="00E85DBD"/>
    <w:rsid w:val="00E87A99"/>
    <w:rsid w:val="00E90702"/>
    <w:rsid w:val="00E9241E"/>
    <w:rsid w:val="00E93DEF"/>
    <w:rsid w:val="00E947B1"/>
    <w:rsid w:val="00E96852"/>
    <w:rsid w:val="00EA1653"/>
    <w:rsid w:val="00EA16AC"/>
    <w:rsid w:val="00EA385A"/>
    <w:rsid w:val="00EA3931"/>
    <w:rsid w:val="00EA635B"/>
    <w:rsid w:val="00EA658E"/>
    <w:rsid w:val="00EA7A88"/>
    <w:rsid w:val="00EB27F2"/>
    <w:rsid w:val="00EB3928"/>
    <w:rsid w:val="00EB5373"/>
    <w:rsid w:val="00EC02A2"/>
    <w:rsid w:val="00EC17CA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7CD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67A"/>
    <w:rsid w:val="00EF6699"/>
    <w:rsid w:val="00EF7E26"/>
    <w:rsid w:val="00F01DFA"/>
    <w:rsid w:val="00F02096"/>
    <w:rsid w:val="00F02457"/>
    <w:rsid w:val="00F036C3"/>
    <w:rsid w:val="00F0417E"/>
    <w:rsid w:val="00F05397"/>
    <w:rsid w:val="00F0638C"/>
    <w:rsid w:val="00F07EAA"/>
    <w:rsid w:val="00F11E04"/>
    <w:rsid w:val="00F12B24"/>
    <w:rsid w:val="00F12BC7"/>
    <w:rsid w:val="00F15223"/>
    <w:rsid w:val="00F164B4"/>
    <w:rsid w:val="00F16BE8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01A"/>
    <w:rsid w:val="00F706CA"/>
    <w:rsid w:val="00F70F8D"/>
    <w:rsid w:val="00F71C5A"/>
    <w:rsid w:val="00F733A4"/>
    <w:rsid w:val="00F7758F"/>
    <w:rsid w:val="00F82811"/>
    <w:rsid w:val="00F83817"/>
    <w:rsid w:val="00F84153"/>
    <w:rsid w:val="00F85661"/>
    <w:rsid w:val="00F92D72"/>
    <w:rsid w:val="00F96602"/>
    <w:rsid w:val="00F9735A"/>
    <w:rsid w:val="00FA32FC"/>
    <w:rsid w:val="00FA59FD"/>
    <w:rsid w:val="00FA5D8C"/>
    <w:rsid w:val="00FA6403"/>
    <w:rsid w:val="00FB16CD"/>
    <w:rsid w:val="00FB41E0"/>
    <w:rsid w:val="00FB73AE"/>
    <w:rsid w:val="00FC5388"/>
    <w:rsid w:val="00FC612E"/>
    <w:rsid w:val="00FC726C"/>
    <w:rsid w:val="00FC79E2"/>
    <w:rsid w:val="00FD1B4B"/>
    <w:rsid w:val="00FD1B94"/>
    <w:rsid w:val="00FD4D70"/>
    <w:rsid w:val="00FE19C5"/>
    <w:rsid w:val="00FE1CC1"/>
    <w:rsid w:val="00FE33A2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538E5C-6E3E-43FB-9C57-2DFBFD60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33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3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7824</Characters>
  <Application>Microsoft Office Word</Application>
  <DocSecurity>4</DocSecurity>
  <Lines>161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SB00004 (Committee Report (Unamended))</vt:lpstr>
    </vt:vector>
  </TitlesOfParts>
  <Company>State of Texas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87S2 0958</dc:subject>
  <dc:creator>State of Texas</dc:creator>
  <dc:description>SB 4 by Lucio-(H)Public Health</dc:description>
  <cp:lastModifiedBy>Thomas Weis</cp:lastModifiedBy>
  <cp:revision>2</cp:revision>
  <cp:lastPrinted>2003-11-26T17:21:00Z</cp:lastPrinted>
  <dcterms:created xsi:type="dcterms:W3CDTF">2021-08-23T22:53:00Z</dcterms:created>
  <dcterms:modified xsi:type="dcterms:W3CDTF">2021-08-23T22:53:00Z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21.234.18</vt:lpwstr>
  </property>
</Properties>
</file>