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87S20379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t xml:space="preserve">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w:t>
      </w:r>
      <w:r>
        <w:t xml:space="preserve"> </w:t>
      </w:r>
      <w:r>
        <w:t xml:space="preserve">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The magistrate shall also inform the person arrested of the person's right to request the appointment of counsel if the person cannot afford counsel. The magistrate shall inform the person arrested of the procedures for requesting appointment of counsel. </w:t>
      </w:r>
      <w:r>
        <w:rPr>
          <w:u w:val="single"/>
        </w:rPr>
        <w:t xml:space="preserve">If applicable, the magistrate shall inform the person that the person may file the affidavit described by Article 17.028(f).</w:t>
      </w:r>
      <w:r>
        <w:t xml:space="preserve"> If the person does not speak and understand the English language or is deaf, the magistrate shall inform the person in a manner consistent with Articles 38.30 and 38.31, as appropriate. The magistrate shall ensure that reasonable assistance in completing the necessary forms for requesting appointment of counsel is provided to the person at the same time. If the person arrested is indigent and requests appointment of counsel and if the magistrate is authorized under Article 26.04 to appoint counsel for indigent defendants in the county, the magistrate shall appoint counsel in accordance with Article 1.051. 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The magistrate shall also inform the person arrested that he is not required to make a statement and that any statement made by him may be used against him. The magistrate shall allow the person arrested reasonable time and opportunity to consult counsel and shall, after determining whether the person is currently on bail for a separate criminal offense </w:t>
      </w:r>
      <w:r>
        <w:rPr>
          <w:u w:val="single"/>
        </w:rPr>
        <w:t xml:space="preserve">and whether the bail decision is subject to Article 17.027</w:t>
      </w:r>
      <w:r>
        <w:t xml:space="preserve">, admit the person arrested to bail if allowed by law.  A record of the communication between the arrested person and the magistrate shall be made. 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and list each factor provided by Article 17.15(a);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defendant's name and date of birth, the cause number of the case, if available, and the offense for which the defendant was arrested;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 offenses involving violence as defined by Article 17.03;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designed to collect and maintain the information provided on a bail form submitted under Section 72.038,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and each municipality at no cost.  This subsection may not be construed to require the office to provide an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use the information maintained under Subsection (b)(6) to collect data regarding the number of defendants for whom bail was set during the preceding state fiscal year,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office shall submit a report containing the data described by Subsection (e) to the governor, lieutenant governor, speaker of the house of representatives, and presiding officers of the standing committees of each house of the legislature with primary jurisdiction over the judiciary.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public safety report before setting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but not later than 72 hours after the time bail is set, submit the bail form described by Section 72.038, Government Code, in accordance with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but is not required to, order, prepare, or consider a public safety report in setting bail for a defendant charged only with a misdemeanor punishable by fine only.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 and one of the counties served by the magistrate;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or justice serving under Chapter 74,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that includes the content of the applicable training course described by Article 17.0501;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as provided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January 1, 2022, is considered to be in compliance with Subsection (c)(1) if the magistrate successfully completes the training course not later than September 1, 2022.  This subsection expires February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defendant is charged with committing an offense punishable as a felony while released on bail for another offense punishable as a felony and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defendant is charged with committing an offense while released on bail for another offense and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surety or cash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For purposes of setting bail or rebutting the presumption, the court may not consider testimonial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is charged with an offense punishable as a Class B misdemeanor or any higher category of offense and who is unable to give bail in the amount required by a schedule or order described by Subsection (e), other than a defendant who is denied bail, shall be provided with the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2____, I have been advised by ________ (name of the court or magistrate, as applicable)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that an appropriate bail be set.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information a court may consider under Article 26.04(m).</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magistrate making the bail decision under Subsection (a) shall,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defendant of the defendant's right to file an affidavit under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defendant receives reasonable assistance in completing the affidavit described by Subsection (f) and the form described by Subsection (g).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described by Subsection (f) may file an affidavit under Subsection (f) at any time before or during the bail proceeding under Subsection (a). A defendant who files an affidavit under Subsection (f) is entitled to a prompt hearing before the magistrate on the bail amount. </w:t>
      </w:r>
      <w:r>
        <w:rPr>
          <w:u w:val="single"/>
        </w:rPr>
        <w:t xml:space="preserve"> </w:t>
      </w:r>
      <w:r>
        <w:rPr>
          <w:u w:val="single"/>
        </w:rPr>
        <w:t xml:space="preserve">The hearing may be held before the magistrate making the bail decision under Subsection (a) or may occur as a separate pretrial proceeding held for that purpose. </w:t>
      </w:r>
      <w:r>
        <w:rPr>
          <w:u w:val="single"/>
        </w:rPr>
        <w:t xml:space="preserve"> </w:t>
      </w:r>
      <w:r>
        <w:rPr>
          <w:u w:val="single"/>
        </w:rPr>
        <w:t xml:space="preserve">The defendant must be given the opportunity to present evidence and respond to evidence presented by the attorney representing the state.  The magistrate shall consider the facts presented and the rules established by Article 17.15(a) and shall set the defendant's bail.  If the magistrate does not set the defendant's bail in an amount below the amount required by the schedule or order described by Subsection (e),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and other magistrates in a county must report to the Office of Court Administration of the Texas Judicial System each defendant for whom a hearing under Subsection (h) was not held within 48 hours of the defendant's arrest.  If a delay occurs that will cause the hearing under Subsection (h) to be held later than 48 hours after the defendant's arrest, the magistrate or an employee of the court or of the county in which the defendant is confined must notify the defendant's counsel of the delay.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capable of executing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Subsection (a), a magistrate may make a bail decision regarding a defendant who is charged only with a misdemeanor punishable by fine only without considering the factor required by Article 17.15(a)(6).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on the 91st day after the last day of the legislative session if this Act does not receive a vote of two-thirds of all the members elected to each house, as provided by Section 39, Article III, Texas Constitution.  If this Act receives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17.03, Code of Criminal Procedure,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Children);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17, Code of Criminal Procedure, is amended by adding Articles 17.0501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17.03 during the 10-year period preceding the date of the defendant's arrest for the instant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presiding judge of the administrative judicial region for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presiding judge of an administrative judicial region may suspend a charitable bail organization from paying bail bonds in the administrative judicial region for one year if the presiding judge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t xml:space="preserve">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t xml:space="preserve"> </w:t>
      </w:r>
      <w:r>
        <w:rPr>
          <w:u w:val="single"/>
        </w:rPr>
        <w:t xml:space="preserve">(a)</w:t>
      </w:r>
      <w:r xml:space="preserve">
        <w:t> </w:t>
      </w:r>
      <w:r xml:space="preserve">
        <w:t> </w:t>
      </w:r>
      <w:r>
        <w:t xml:space="preserve">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t xml:space="preserve"> </w:t>
      </w:r>
      <w:r>
        <w:rPr>
          <w:u w:val="single"/>
        </w:rPr>
        <w:t xml:space="preserve">(a)</w:t>
      </w:r>
      <w:r xml:space="preserve">
        <w:t> </w:t>
      </w:r>
      <w:r xml:space="preserve">
        <w:t> </w:t>
      </w:r>
      <w:r>
        <w:t xml:space="preserve">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of the county where the defendant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w:t>
      </w:r>
      <w:r>
        <w:rPr>
          <w:u w:val="single"/>
        </w:rPr>
        <w:t xml:space="preserve"> </w:t>
      </w:r>
      <w:r>
        <w:rPr>
          <w:u w:val="single"/>
        </w:rPr>
        <w:t xml:space="preserve">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27.005,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course described by Subsection (a)(1)(A) may include a course described by Subsection (a)(1)(B).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surety or cash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preceding state fiscal year to the governor, lieutenant governor, speaker of the house of representatives, and presiding officers of the standing committees of each house of the legislature with primary jurisdiction over the judiciary.</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bail under Chapter 17, Code of Criminal Procedure, for a defendant charged with an offense punishable as a Class B misdemeanor or any higher category of offense. </w:t>
      </w:r>
      <w:r>
        <w:rPr>
          <w:u w:val="single"/>
        </w:rPr>
        <w:t xml:space="preserve"> </w:t>
      </w:r>
      <w:r>
        <w:rPr>
          <w:u w:val="single"/>
        </w:rPr>
        <w:t xml:space="preserve">The office shall incorporate the completed forms into the public safety report system developed under Article 17.021,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electronically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on completion of the form required under this section, promptly but not later than 72 hours after the time the defendant's bail is set provide the form electronically to the office through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t>
      </w:r>
      <w:r>
        <w:t xml:space="preserve"> </w:t>
      </w:r>
      <w:r>
        <w:t xml:space="preserve">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but not later than January 1, 2022,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and each municipality access to the system, forms, and materials at no cost.  If those items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As soon as practicable but not later than January 1, 2022,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23(c) of this Act.  A withdrawal of funds from a court registry made before the effective date provided by Section 23(c)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Except as provided by Subsection (b) or (c) of this section or another provision of this Act, this Act takes effect January 1, 2022.</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June 1, 2022, but only if the constitutional amendment proposed by the 87th Legislature, 2nd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w:t>
      </w:r>
      <w:r>
        <w:t xml:space="preserve"> </w:t>
      </w:r>
      <w:r>
        <w:t xml:space="preserve">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4, 17, 19, 20, and 21 of this Act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