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87S20045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violates this section.  The restraint of each dog that is in violation of this section is a separate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activity is associated with the use or presence of a dog;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restraint is used only for the time necessary for the owner to complete the activity;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 provided the restraint is used only for the time necessary for the owner to complete the shepherding or herding;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dog left unattended in an open-air truck bed only for the time necessary for the owner to complete a temporary task that requires the dog to be left unattended in the truck bed;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 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