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87S20257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salaries of sheriffs and to state assistance payments to offset the cost of sheriff's salaries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152, Local Government Code, is amended by adding Sections 152.0715 and 152.0716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152.0715.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MINIMUM SALARY OF SHERIFFS.  Notwithstanding any other law, the commissioners court of a county shall provide for each fiscal year a salary of at least $65,000 for the county's sheriff.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152.0716.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FINANCIAL ASSISTANCE TO PAY SALARIES OF SHERIFFS OF CERTAIN COUNTIES.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with a population of less than 50,001.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serve the state purpose of ensuring professional law enforcement throughout the state, a county is entitled to a state assistance payment from the state for each county fiscal year to assist the county in paying the sheriff's salary required by Section 152.0715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has a population of 25,000 or less, the county is entitled to a payment of $20,000;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has a population of more than 25,000 and less than 50,001, the county is entitled to a payment of $5,000.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day after the first day of a county's fiscal year, the county must submit an application to the comptroller to receive the payment.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remit the applicable state assistance payment to which a county is entitled from available state funds not later than the 30th day after the date the comptroller receives the county's application for the payment.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county fiscal year that begins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comptroller of public accounts shall adopt rules as required by Section 152.0716(e), Local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