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energy efficiency goals for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39.905, Utilities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meeting the demand goals provided by Subsection (a), each electric utility shall also meet an annual energy savings goal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one-fourth of one percent annual energy savings in the 2022 calendar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one-half of one percent annual energy savings in the 2023 calendar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three-fourths of one percent annual energy savings in the 2024 calendar year;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percent annual energy savings beginning with the 2025 calendar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by rule shall provide a method to establish each utility's annual savings goal under Subsection (a-1).  The method must be based on the existing and expected usage of electricity delivered in a utility's service area that is required to pay the annual energy efficiency cost recovery fee.  In adopting rules, the commission may provide for cost caps for the implementation of Subsection (a-1) and provide good cause exceptions for a utility that is unable to meet the goal in a cost-effective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Public Utility Commission of Texas shall adopt rules to implement the changes made by this Act to Section 39.905, Utilities Code, not later than the 120th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