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87S20377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vaccination requirements for health benefit plans or insurance policies provided to business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544, Insurance Code, is amended by adding Subchapter O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O.  VACCINATION STATUS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544.701.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 OF SUBCHAPTER.  (a)  This subchapter applies to the issuer of a health benefit plan that provides benefits for medical or surgical expenses incurred as a result of a health condition, accident, or sickness, including a group, blanket, or franchise insurance policy or insurance agreement, a group hospital service contract, or a group evidence of coverage or similar coverage document that is offered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insurance company;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hospital service corporation operating under Chapter 842;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operating under Chapter 843;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approved nonprofit health corporation that holds a certificate of authority under Chapter 844;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multiple employer welfare arrangement that holds a certificate of authority under Chapter 846;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stipulated premium company operating under Chapter 884;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fraternal benefit society operating under Chapter 885;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Lloyd's plan operating under Chapter 941;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exchange operating under Chapter 942.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this subchapter applies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small employer health benefit plan subject to Chapter 1501, including coverage provided through a health group cooperative under Subchapter B of that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standard health benefit plan issued under Chapter 1507.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applies to a life insurance company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issues or delivers a life insurance policy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organized under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subchapter applies to an insurer offering a property and casualty insurance policy to a business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544.702.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VACCINATION REQUIREMENTS PROHIBITED.  An insurer or other issuer offering a health benefit plan, life insurance policy, property and casualty insurance policy, or any other insurance policy written for business entities may not discriminate against an employee without a vaccination by requiring as a condition to purchase or maintain coverage, including an endorsement, that each of the business's employees is vaccinated.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O, Chapter 544, Insurance Code, as added by this Act, applies only to a health benefit plan or insurance policy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