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87S20020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100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and public institution of higher education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on the team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who attends a school district or open-enrollment charter school that sponsors or authorizes an interscholastic athletic team that violates this section may bring a civil action against the district or school if the student is directly harmed by the violation. </w:t>
      </w:r>
      <w:r>
        <w:rPr>
          <w:u w:val="single"/>
        </w:rPr>
        <w:t xml:space="preserve"> </w:t>
      </w:r>
      <w:r>
        <w:rPr>
          <w:u w:val="single"/>
        </w:rPr>
        <w:t xml:space="preserve">The student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 and reasonable attorney's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51.980.</w:t>
      </w:r>
      <w:r>
        <w:rPr>
          <w:u w:val="single"/>
        </w:rPr>
        <w:t xml:space="preserve"> </w:t>
      </w:r>
      <w:r>
        <w:rPr>
          <w:u w:val="single"/>
        </w:rPr>
        <w:t xml:space="preserve"> </w:t>
      </w:r>
      <w:r>
        <w:rPr>
          <w:u w:val="single"/>
        </w:rPr>
        <w:t xml:space="preserve">INTERSCHOLASTIC ATHLETIC COMPETITION BASED ON BIOLOGICAL SEX.  (a)  In this section, "institution of higher education"</w:t>
      </w:r>
      <w:r>
        <w:rPr>
          <w:u w:val="single"/>
        </w:rPr>
        <w:t xml:space="preserve"> </w:t>
      </w:r>
      <w:r>
        <w:rPr>
          <w:u w:val="single"/>
        </w:rPr>
        <w:t xml:space="preserve">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 interscholastic athletic team sponsored or authorized by an institution of higher education may not allow a student to compete on the team in an interscholastic athletic competition sponsored or authorized by the institution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interscholastic athletic team described by Subsection (b)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who attends an institution of higher education that sponsors or authorizes an interscholastic athletic team that violates this section may bring a civil action against the institution if the student is directly harmed by the violation. </w:t>
      </w:r>
      <w:r>
        <w:rPr>
          <w:u w:val="single"/>
        </w:rPr>
        <w:t xml:space="preserve"> </w:t>
      </w:r>
      <w:r>
        <w:rPr>
          <w:u w:val="single"/>
        </w:rPr>
        <w:t xml:space="preserve">The student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 and reasonable attorney's fees.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33.0834, Education Code, as added by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51.980, Education Code, as added by this Act, applies beginning with the 2021-2022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