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charges imposed by a governmental body for providing copies of campaign finance reports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552.261,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may not impose a charge under this subchapter for providing a copy of public information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is a report required to be filed with the governmental body under Subchapter C or D, Chapter 254, Election Code, unless all of those reports filed with the governmental body during the preceding three years are available to the public on the governmental body's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 fails to disclose the information on or before the 10th business day after the date of receiving the requestor's written request, unless the governmental body: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sends a written request for clarification under Section 552.222(b);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a decision from the attorney general under Section 552.301;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requests a decision from the attorney general under Section 552.301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governmental body fails to comply with Subsection (d) of that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attorney general determines the requested information must be disclosed.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public information received by a governmental body or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