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filing of campaign treasurer appointments and campaign finance reports with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252, Election Code, is amended by amending Sections 252.005 and 252.007 to read as follows:</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AUTHORITY WITH WHOM APPOINTMENT FILED:  CANDIDATE.  An individual must file a campaign treasurer appointment for the individual's own candidacy with </w:t>
      </w:r>
      <w:r>
        <w:rPr>
          <w:u w:val="single"/>
        </w:rPr>
        <w:t xml:space="preserve">the commission</w:t>
      </w:r>
      <w:r>
        <w:t xml:space="preserve">[</w:t>
      </w:r>
      <w:r>
        <w:rPr>
          <w:strike/>
        </w:rP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commission, if the appointment is made for candidacy for:</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 statewide office;</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district office filled by voters of more than one county;</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judicial district office filled by voters of only one county;</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state senator;</w:t>
      </w:r>
    </w:p>
    <w:p w:rsidR="003F3435" w:rsidRDefault="0032493E">
      <w:pPr>
        <w:spacing w:line="480" w:lineRule="auto"/>
        <w:ind w:firstLine="2160"/>
        <w:jc w:val="both"/>
      </w:pPr>
      <w:r>
        <w:rPr>
          <w:strike/>
        </w:rPr>
        <w:t xml:space="preserve">(E)</w:t>
      </w:r>
      <w:r xml:space="preserve">
        <w:rPr>
          <w:strike/>
        </w:rPr>
        <w:t> </w:t>
      </w:r>
      <w:r xml:space="preserve">
        <w:rPr>
          <w:strike/>
        </w:rPr>
        <w:t> </w:t>
      </w:r>
      <w:r>
        <w:rPr>
          <w:strike/>
        </w:rPr>
        <w:t xml:space="preserve">state representative; or</w:t>
      </w:r>
    </w:p>
    <w:p w:rsidR="003F3435" w:rsidRDefault="0032493E">
      <w:pPr>
        <w:spacing w:line="480" w:lineRule="auto"/>
        <w:ind w:firstLine="2160"/>
        <w:jc w:val="both"/>
      </w:pPr>
      <w:r>
        <w:rPr>
          <w:strike/>
        </w:rPr>
        <w:t xml:space="preserve">(F)</w:t>
      </w:r>
      <w:r xml:space="preserve">
        <w:rPr>
          <w:strike/>
        </w:rPr>
        <w:t> </w:t>
      </w:r>
      <w:r xml:space="preserve">
        <w:rPr>
          <w:strike/>
        </w:rPr>
        <w:t> </w:t>
      </w:r>
      <w:r>
        <w:rPr>
          <w:strike/>
        </w:rPr>
        <w:t xml:space="preserve">the State Board of Education;</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county clerk, if the appointment is made for candidacy for a county office, a precinct office, or a district office other than one included in Subdivision (1);</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clerk or secretary of the governing body of the political subdivision or, if the political subdivision has no clerk or secretary, with the governing body's presiding officer, if the appointment is made for candidacy for an office of a political subdivision other than a county;</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the county clerk if: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appointment is made for candidacy for an office of a political subdivision other than a county;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governing body for the political subdivision has not been formed; and</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no boundary of the political subdivision crosses a boundary of the county; or</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the commission if: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appointment is made for candidacy for an office of a political subdivision other than a county;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governing body for the political subdivision has not been formed; and</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the political subdivision is situated in more than one county</w:t>
      </w:r>
      <w:r>
        <w:t xml:space="preserve">].</w:t>
      </w:r>
    </w:p>
    <w:p w:rsidR="003F3435" w:rsidRDefault="0032493E">
      <w:pPr>
        <w:spacing w:line="480" w:lineRule="auto"/>
        <w:ind w:firstLine="720"/>
        <w:jc w:val="both"/>
      </w:pPr>
      <w:r>
        <w:t xml:space="preserve">Sec.</w:t>
      </w:r>
      <w:r xml:space="preserve">
        <w:t> </w:t>
      </w:r>
      <w:r>
        <w:t xml:space="preserve">252.007.</w:t>
      </w:r>
      <w:r xml:space="preserve">
        <w:t> </w:t>
      </w:r>
      <w:r xml:space="preserve">
        <w:t> </w:t>
      </w:r>
      <w:r>
        <w:t xml:space="preserve">AUTHORITY WITH WHOM APPOINTMENT FILED:  SPECIFIC-PURPOSE COMMITTEE FOR SUPPORTING OR OPPOSING MEASURE.  A specific-purpose committee for supporting or opposing a measure must file its campaign treasurer appointment with </w:t>
      </w:r>
      <w:r>
        <w:rPr>
          <w:u w:val="single"/>
        </w:rPr>
        <w:t xml:space="preserve">the commission</w:t>
      </w:r>
      <w:r>
        <w:t xml:space="preserve">[</w:t>
      </w:r>
      <w:r>
        <w:rPr>
          <w:strike/>
        </w:rP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commission, if the measure is to be submitted to voters of the entire state;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county clerk, if the measure is to be submitted to voters of a single county in an election ordered by a county authority;</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secretary of the governing body of the political subdivision or, if the political subdivision has no secretary, with the governing body's presiding officer, if the measure is to be submitted at an election ordered by an authority of a political  subdivision other than a county;</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the county clerk if: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measure concerns a political subdivision other than a county;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governing body for the political subdivision has not been formed; and</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no boundary of the political subdivision crosses a boundary of a county; or</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the commission if: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measure concerns a political subdivision other than a county;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governing body for the political subdivision has not been formed; and</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the political subdivision is situated in more than one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252.008, Election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254.006, Election Code, is amended to read as follows:</w:t>
      </w:r>
    </w:p>
    <w:p w:rsidR="003F3435" w:rsidRDefault="0032493E">
      <w:pPr>
        <w:spacing w:line="480" w:lineRule="auto"/>
        <w:ind w:firstLine="720"/>
        <w:jc w:val="both"/>
      </w:pPr>
      <w:r>
        <w:t xml:space="preserve">Sec.</w:t>
      </w:r>
      <w:r xml:space="preserve">
        <w:t> </w:t>
      </w:r>
      <w:r>
        <w:t xml:space="preserve">254.066.</w:t>
      </w:r>
      <w:r xml:space="preserve">
        <w:t> </w:t>
      </w:r>
      <w:r xml:space="preserve">
        <w:t> </w:t>
      </w:r>
      <w:r>
        <w:t xml:space="preserve">AUTHORITY WITH WHOM REPORTS FILED.  Reports under this subchapter shall be filed with </w:t>
      </w:r>
      <w:r>
        <w:rPr>
          <w:u w:val="single"/>
        </w:rPr>
        <w:t xml:space="preserve">the commission</w:t>
      </w:r>
      <w:r>
        <w:t xml:space="preserve"> [</w:t>
      </w:r>
      <w:r>
        <w:rPr>
          <w:strike/>
        </w:rPr>
        <w:t xml:space="preserve">the authority with whom the candidate's campaign treasurer appointment is required to be filed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254.097, Election Code, is amended to read as follows:</w:t>
      </w:r>
    </w:p>
    <w:p w:rsidR="003F3435" w:rsidRDefault="0032493E">
      <w:pPr>
        <w:spacing w:line="480" w:lineRule="auto"/>
        <w:ind w:firstLine="720"/>
        <w:jc w:val="both"/>
      </w:pPr>
      <w:r>
        <w:t xml:space="preserve">Sec.</w:t>
      </w:r>
      <w:r xml:space="preserve">
        <w:t> </w:t>
      </w:r>
      <w:r>
        <w:t xml:space="preserve">254.097.</w:t>
      </w:r>
      <w:r xml:space="preserve">
        <w:t> </w:t>
      </w:r>
      <w:r xml:space="preserve">
        <w:t> </w:t>
      </w:r>
      <w:r>
        <w:t xml:space="preserve">AUTHORITY WITH WHOM REPORTS FILED.  Reports under this subchapter shall be filed with </w:t>
      </w:r>
      <w:r>
        <w:rPr>
          <w:u w:val="single"/>
        </w:rPr>
        <w:t xml:space="preserve">the commission</w:t>
      </w:r>
      <w:r>
        <w:t xml:space="preserve"> [</w:t>
      </w:r>
      <w:r>
        <w:rPr>
          <w:strike/>
        </w:rPr>
        <w:t xml:space="preserve">the authority with whom a campaign treasurer appointment by a candidate for the office held by the officeholder is required to be filed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254.130, Election Code, is amended to read as follows:</w:t>
      </w:r>
    </w:p>
    <w:p w:rsidR="003F3435" w:rsidRDefault="0032493E">
      <w:pPr>
        <w:spacing w:line="480" w:lineRule="auto"/>
        <w:ind w:firstLine="720"/>
        <w:jc w:val="both"/>
      </w:pPr>
      <w:r>
        <w:t xml:space="preserve">Sec.</w:t>
      </w:r>
      <w:r xml:space="preserve">
        <w:t> </w:t>
      </w:r>
      <w:r>
        <w:t xml:space="preserve">254.130.</w:t>
      </w:r>
      <w:r xml:space="preserve">
        <w:t> </w:t>
      </w:r>
      <w:r xml:space="preserve">
        <w:t> </w:t>
      </w:r>
      <w:r>
        <w:t xml:space="preserve">AUTHORITY WITH WHOM REPORTS FILED.  </w:t>
      </w:r>
      <w:r>
        <w:rPr>
          <w:u w:val="single"/>
        </w:rPr>
        <w:t xml:space="preserve">Reports</w:t>
      </w:r>
      <w:r>
        <w:t xml:space="preserve"> [</w:t>
      </w:r>
      <w:r>
        <w:rPr>
          <w:strike/>
        </w:rPr>
        <w:t xml:space="preserve">(a)  Except as provided by Subsection (b), reports</w:t>
      </w:r>
      <w:r>
        <w:t xml:space="preserve">] filed under this subchapter shall be filed with the </w:t>
      </w:r>
      <w:r>
        <w:rPr>
          <w:u w:val="single"/>
        </w:rPr>
        <w:t xml:space="preserve">commission</w:t>
      </w:r>
      <w:r>
        <w:t xml:space="preserve"> [</w:t>
      </w:r>
      <w:r>
        <w:rPr>
          <w:strike/>
        </w:rPr>
        <w:t xml:space="preserve">authority with whom the political committee's campaign treasurer appointment is required to be filed.</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A specific-purpose committee created to support or oppose a measure on the issuance of bonds by a school district shall file reports under this subchapter with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254.202, Election Code, is amended to read as follows:</w:t>
      </w:r>
    </w:p>
    <w:p w:rsidR="003F3435" w:rsidRDefault="0032493E">
      <w:pPr>
        <w:spacing w:line="480" w:lineRule="auto"/>
        <w:ind w:firstLine="720"/>
        <w:jc w:val="both"/>
      </w:pPr>
      <w:r>
        <w:t xml:space="preserve">Sec.</w:t>
      </w:r>
      <w:r xml:space="preserve">
        <w:t> </w:t>
      </w:r>
      <w:r>
        <w:t xml:space="preserve">254.202.</w:t>
      </w:r>
      <w:r xml:space="preserve">
        <w:t> </w:t>
      </w:r>
      <w:r xml:space="preserve">
        <w:t> </w:t>
      </w:r>
      <w:r>
        <w:t xml:space="preserve">FILING OF REPORT; CONTENTS.  (a)  A person shall file the report required by Section 254.201 not earlier than January 1 or later than January 15 of each year following the year in which the person files a final report under this chapter.</w:t>
      </w:r>
    </w:p>
    <w:p w:rsidR="003F3435" w:rsidRDefault="0032493E">
      <w:pPr>
        <w:spacing w:line="480" w:lineRule="auto"/>
        <w:ind w:firstLine="720"/>
        <w:jc w:val="both"/>
      </w:pPr>
      <w:r>
        <w:t xml:space="preserve">(b)</w:t>
      </w:r>
      <w:r xml:space="preserve">
        <w:t> </w:t>
      </w:r>
      <w:r xml:space="preserve">
        <w:t> </w:t>
      </w:r>
      <w:r>
        <w:t xml:space="preserve">The report shall be filed with the </w:t>
      </w:r>
      <w:r>
        <w:rPr>
          <w:u w:val="single"/>
        </w:rPr>
        <w:t xml:space="preserve">commission</w:t>
      </w:r>
      <w:r>
        <w:t xml:space="preserve"> [</w:t>
      </w:r>
      <w:r>
        <w:rPr>
          <w:strike/>
        </w:rPr>
        <w:t xml:space="preserve">authority with whom the person's campaign treasurer appointment was required to be filed</w:t>
      </w:r>
      <w:r>
        <w:t xml:space="preserve">].</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person's full name and address;</w:t>
      </w:r>
    </w:p>
    <w:p w:rsidR="003F3435" w:rsidRDefault="0032493E">
      <w:pPr>
        <w:spacing w:line="480" w:lineRule="auto"/>
        <w:ind w:firstLine="1440"/>
        <w:jc w:val="both"/>
      </w:pPr>
      <w:r>
        <w:t xml:space="preserve">(2)</w:t>
      </w:r>
      <w:r xml:space="preserve">
        <w:t> </w:t>
      </w:r>
      <w:r xml:space="preserve">
        <w:t> </w:t>
      </w:r>
      <w:r>
        <w:t xml:space="preserve">the full name and address of each person to whom a payment from unexpended political contributions was made during the previous year;</w:t>
      </w:r>
    </w:p>
    <w:p w:rsidR="003F3435" w:rsidRDefault="0032493E">
      <w:pPr>
        <w:spacing w:line="480" w:lineRule="auto"/>
        <w:ind w:firstLine="1440"/>
        <w:jc w:val="both"/>
      </w:pPr>
      <w:r>
        <w:t xml:space="preserve">(3)</w:t>
      </w:r>
      <w:r xml:space="preserve">
        <w:t> </w:t>
      </w:r>
      <w:r xml:space="preserve">
        <w:t> </w:t>
      </w:r>
      <w:r>
        <w:t xml:space="preserve">the date, amount, and purpose of each payment made under Subdivision (2);</w:t>
      </w:r>
    </w:p>
    <w:p w:rsidR="003F3435" w:rsidRDefault="0032493E">
      <w:pPr>
        <w:spacing w:line="480" w:lineRule="auto"/>
        <w:ind w:firstLine="1440"/>
        <w:jc w:val="both"/>
      </w:pPr>
      <w:r>
        <w:t xml:space="preserve">(4)</w:t>
      </w:r>
      <w:r xml:space="preserve">
        <w:t> </w:t>
      </w:r>
      <w:r xml:space="preserve">
        <w:t> </w:t>
      </w:r>
      <w:r>
        <w:t xml:space="preserve">the total amount of unexpended political contributions as of December 31 of the previous year; and</w:t>
      </w:r>
    </w:p>
    <w:p w:rsidR="003F3435" w:rsidRDefault="0032493E">
      <w:pPr>
        <w:spacing w:line="480" w:lineRule="auto"/>
        <w:ind w:firstLine="1440"/>
        <w:jc w:val="both"/>
      </w:pPr>
      <w:r>
        <w:t xml:space="preserve">(5)</w:t>
      </w:r>
      <w:r xml:space="preserve">
        <w:t> </w:t>
      </w:r>
      <w:r xml:space="preserve">
        <w:t> </w:t>
      </w:r>
      <w:r>
        <w:t xml:space="preserve">the total amount of interest and other income earned on unexpended political contributions during the previous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254.205, Election Code, is amended to read as follows:</w:t>
      </w:r>
    </w:p>
    <w:p w:rsidR="003F3435" w:rsidRDefault="0032493E">
      <w:pPr>
        <w:spacing w:line="480" w:lineRule="auto"/>
        <w:ind w:firstLine="720"/>
        <w:jc w:val="both"/>
      </w:pPr>
      <w:r>
        <w:t xml:space="preserve">Sec.</w:t>
      </w:r>
      <w:r xml:space="preserve">
        <w:t> </w:t>
      </w:r>
      <w:r>
        <w:t xml:space="preserve">254.205.</w:t>
      </w:r>
      <w:r xml:space="preserve">
        <w:t> </w:t>
      </w:r>
      <w:r xml:space="preserve">
        <w:t> </w:t>
      </w:r>
      <w:r>
        <w:t xml:space="preserve">REPORT OF DISPOSITION OF UNEXPENDED CONTRIBUTIONS.  (a)  Not later than the 30th day after the date the six-year period prescribed by Section 254.203 ends, the person required to dispose of unexpended political contributions shall file a report of the disposition.</w:t>
      </w:r>
    </w:p>
    <w:p w:rsidR="003F3435" w:rsidRDefault="0032493E">
      <w:pPr>
        <w:spacing w:line="480" w:lineRule="auto"/>
        <w:ind w:firstLine="720"/>
        <w:jc w:val="both"/>
      </w:pPr>
      <w:r>
        <w:t xml:space="preserve">(b)</w:t>
      </w:r>
      <w:r xml:space="preserve">
        <w:t> </w:t>
      </w:r>
      <w:r xml:space="preserve">
        <w:t> </w:t>
      </w:r>
      <w:r>
        <w:t xml:space="preserve">The report shall be filed with the </w:t>
      </w:r>
      <w:r>
        <w:rPr>
          <w:u w:val="single"/>
        </w:rPr>
        <w:t xml:space="preserve">commission</w:t>
      </w:r>
      <w:r>
        <w:t xml:space="preserve"> [</w:t>
      </w:r>
      <w:r>
        <w:rPr>
          <w:strike/>
        </w:rPr>
        <w:t xml:space="preserve">authority with whom the person's campaign treasurer appointment was required to be filed</w:t>
      </w:r>
      <w:r>
        <w:t xml:space="preserve">].</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person's full name and address;</w:t>
      </w:r>
    </w:p>
    <w:p w:rsidR="003F3435" w:rsidRDefault="0032493E">
      <w:pPr>
        <w:spacing w:line="480" w:lineRule="auto"/>
        <w:ind w:firstLine="1440"/>
        <w:jc w:val="both"/>
      </w:pPr>
      <w:r>
        <w:t xml:space="preserve">(2)</w:t>
      </w:r>
      <w:r xml:space="preserve">
        <w:t> </w:t>
      </w:r>
      <w:r xml:space="preserve">
        <w:t> </w:t>
      </w:r>
      <w:r>
        <w:t xml:space="preserve">the full name and address of each person to whom a payment from unexpended political contributions is made; and</w:t>
      </w:r>
    </w:p>
    <w:p w:rsidR="003F3435" w:rsidRDefault="0032493E">
      <w:pPr>
        <w:spacing w:line="480" w:lineRule="auto"/>
        <w:ind w:firstLine="1440"/>
        <w:jc w:val="both"/>
      </w:pPr>
      <w:r>
        <w:t xml:space="preserve">(3)</w:t>
      </w:r>
      <w:r xml:space="preserve">
        <w:t> </w:t>
      </w:r>
      <w:r xml:space="preserve">
        <w:t> </w:t>
      </w:r>
      <w:r>
        <w:t xml:space="preserve">the date and amount of each payment reported under Subdivision (2).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