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87S20209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from ad valorem taxation of property owned by an economic development corporation and used for a public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11.11, Tax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owned by a Type A corporation created under Chapter 504, Local Government Code, or a Type B corporation created under Chapter 505 of that code is exempt from taxation if the property is used for a public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