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87S20058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educational program on sex trafficking awareness and prevention for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28.0171.</w:t>
      </w:r>
      <w:r>
        <w:rPr>
          <w:u w:val="single"/>
        </w:rPr>
        <w:t xml:space="preserve"> </w:t>
      </w:r>
      <w:r>
        <w:rPr>
          <w:u w:val="single"/>
        </w:rPr>
        <w:t xml:space="preserve"> </w:t>
      </w:r>
      <w:r>
        <w:rPr>
          <w:u w:val="single"/>
        </w:rPr>
        <w:t xml:space="preserve">EDUCATIONAL PROGRAM ON SEX TRAFFICKING AWARENESS AND PREVENTION.  (a)  Each school district shall provide an educational program to students in grade six relating to the awareness and prevention of sex trafficking.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different forms of sex trafficking and the risk factors for sex trafficking;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reporting sex trafficking or suspected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beginning of each school year, a school district shall provide written notice to the parent of each student enrolled in grade six in the district that includes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an educational program relating to sex trafficking awareness and prevention of sex trafficking to students enrolled in grade six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material that will be used during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parent has the right to review the material and remove the parent's student from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