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87S20421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Krause</w:t>
      </w:r>
      <w:r xml:space="preserve">
        <w:tab wTab="150" tlc="none" cTlc="0"/>
      </w:r>
      <w:r>
        <w:t xml:space="preserve">H.B.</w:t>
      </w:r>
      <w:r xml:space="preserve">
        <w:t> </w:t>
      </w:r>
      <w:r>
        <w:t xml:space="preserve">No.</w:t>
      </w:r>
      <w:r xml:space="preserve">
        <w:t> </w:t>
      </w:r>
      <w:r>
        <w:t xml:space="preserve">133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and professional liability insurance coverage for gender transitioning or gender reassignment medical procedures and treatments for certain children.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161, Health and Safety Code, is amended by adding Subchapter X to read as follows:</w:t>
      </w:r>
    </w:p>
    <w:p w:rsidR="003F3435" w:rsidRDefault="0032493E">
      <w:pPr>
        <w:spacing w:line="480" w:lineRule="auto"/>
        <w:jc w:val="center"/>
      </w:pPr>
      <w:r>
        <w:rPr>
          <w:u w:val="single"/>
        </w:rPr>
        <w:t xml:space="preserve">SUBCHAPTER X.  GENDER TRANSITIONING AND GENDER REASSIGNMENT PROCEDURES AND TREATMENTS FOR CERTAIN CHILDREN</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161.701.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"Child" means an individual who is younger than 18 years of 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"Health care provider" means a person other than a physician who is licensed, certified, or otherwise authorized by the laws of this state to provide or render health care or to dispense or prescribe a prescription drug in the ordinary course of business or practice of a profession.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"Physician" means a person licensed to practice medicine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161.702.</w:t>
      </w:r>
      <w:r>
        <w:rPr>
          <w:u w:val="single"/>
        </w:rPr>
        <w:t xml:space="preserve"> </w:t>
      </w:r>
      <w:r>
        <w:rPr>
          <w:u w:val="single"/>
        </w:rPr>
        <w:t xml:space="preserve"> </w:t>
      </w:r>
      <w:r>
        <w:rPr>
          <w:u w:val="single"/>
        </w:rPr>
        <w:t xml:space="preserve">PROHIBITED PROVISION OF GENDER TRANSITIONING OR GENDER REASSIGNMENT PROCEDURES AND TREATMENTS TO CERTAIN CHILDREN.  For the purpose of transitioning a child's biological sex as determined by the sex organs, chromosomes, and endogenous profiles of the child or affirming the child's perception of the child's sex if that perception is inconsistent with the child's biological sex, a physician or health care provider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perform a surgery that sterilizes the child,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castration;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vasectomy;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hysterectomy;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oophorectomy;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metoidioplasty;</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orchiectomy;</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penectomy;</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phalloplasty; and</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vaginoplasty;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perform a mastectomy;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prescribe, administer, or supply any of the following medications that induce transient or permanent infertility: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puberty-blocking medication to stop or delay normal puberty;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supraphysiologic doses of testosterone to females;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supraphysiologic doses of estrogen to males;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remove any otherwise healthy or non-diseased body part or tissue.</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161.703.</w:t>
      </w:r>
      <w:r>
        <w:rPr>
          <w:u w:val="single"/>
        </w:rPr>
        <w:t xml:space="preserve"> </w:t>
      </w:r>
      <w:r>
        <w:rPr>
          <w:u w:val="single"/>
        </w:rPr>
        <w:t xml:space="preserve"> </w:t>
      </w:r>
      <w:r>
        <w:rPr>
          <w:u w:val="single"/>
        </w:rPr>
        <w:t xml:space="preserve">EXCEPTIONS.  (a) </w:t>
      </w:r>
      <w:r>
        <w:rPr>
          <w:u w:val="single"/>
        </w:rPr>
        <w:t xml:space="preserve"> </w:t>
      </w:r>
      <w:r>
        <w:rPr>
          <w:u w:val="single"/>
        </w:rPr>
        <w:t xml:space="preserve">Section 161.702 does not apply to a physician's or health care provider's provision, with the consent of the child's parent or legal guardian, of appropriate and medically necessary gender transitioning or gender reassignment procedures or treatments to a child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born with a medically verifiable genetic disorder of sex development,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46, XX chromosomes with virilization;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46, XY chromosomes with undervirilization;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both ovarian and testicular tissue;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have the normal sex chromosome structure for male or female as determined by a physician through genetic testing.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161.702 does not apply to a physician's or health care provider's provision of a puberty suppression or blocking prescription drug to a child experiencing precocious puberty for the purpose of normalizing puberty for the child.</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161.704.</w:t>
      </w:r>
      <w:r>
        <w:rPr>
          <w:u w:val="single"/>
        </w:rPr>
        <w:t xml:space="preserve"> </w:t>
      </w:r>
      <w:r>
        <w:rPr>
          <w:u w:val="single"/>
        </w:rPr>
        <w:t xml:space="preserve"> </w:t>
      </w:r>
      <w:r>
        <w:rPr>
          <w:u w:val="single"/>
        </w:rPr>
        <w:t xml:space="preserve">DISCIPLINARY ACTION. </w:t>
      </w:r>
      <w:r>
        <w:rPr>
          <w:u w:val="single"/>
        </w:rPr>
        <w:t xml:space="preserve"> </w:t>
      </w:r>
      <w:r>
        <w:rPr>
          <w:u w:val="single"/>
        </w:rPr>
        <w:t xml:space="preserve">The Texas Medical Board or another state regulatory agency with jurisdiction over a health care provider subject to Section 161.702 shall revoke the license, certification, or authorization of a physician or health care provider who the board or agency determines has violated that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F, Chapter 1901, Insurance Code, is amended by adding Section 1901.256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1901.256.</w:t>
      </w:r>
      <w:r>
        <w:rPr>
          <w:u w:val="single"/>
        </w:rPr>
        <w:t xml:space="preserve"> </w:t>
      </w:r>
      <w:r>
        <w:rPr>
          <w:u w:val="single"/>
        </w:rPr>
        <w:t xml:space="preserve"> </w:t>
      </w:r>
      <w:r>
        <w:rPr>
          <w:u w:val="single"/>
        </w:rPr>
        <w:t xml:space="preserve">PROHIBITED COVERAGE FOR PROVISION OF CERTAIN GENDER-RELATED PROCEDURES AND TREATMENTS TO CERTAIN CHILDREN.  A professional liability insurance policy issued to a physician or health care provider may not include coverage for damages assessed against the physician or health care provider who provides to a child gender transitioning or gender reassignment procedures or treatments that are prohibited by Section 161.702, Health and Safety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1901.256, Insurance Code, as added by this Act, applies only to a medical professional liability insurance policy that is delivered, issued for delivery, or renewed on or after April 1, 2022. An insurance policy that is delivered, issued for delivery, or renewed before April 1, 2022,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