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87S20421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(a) </w:t>
      </w:r>
      <w:r>
        <w:rPr>
          <w:u w:val="single"/>
        </w:rPr>
        <w:t xml:space="preserve"> </w:t>
      </w:r>
      <w:r>
        <w:rPr>
          <w:u w:val="single"/>
        </w:rPr>
        <w:t xml:space="preserve">Section 161.702 does not apply to a physician's or health care provider's provision,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161.702 does not apply to a physician's or health care provider's provision of a puberty suppression or blocking prescription drug to a child experiencing precocious puberty for the purpose of normalizing puberty for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w:t>
      </w:r>
      <w:r>
        <w:rPr>
          <w:u w:val="single"/>
        </w:rPr>
        <w:t xml:space="preserve"> </w:t>
      </w:r>
      <w:r>
        <w:rPr>
          <w:u w:val="single"/>
        </w:rPr>
        <w:t xml:space="preserve">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April 1, 2022. An insurance policy that is delivered, issued for delivery, or renewed before April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