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expanding eligibility for medical assistance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32.02473.</w:t>
      </w:r>
      <w:r>
        <w:rPr>
          <w:u w:val="single"/>
        </w:rPr>
        <w:t xml:space="preserve"> </w:t>
      </w:r>
      <w:r>
        <w:rPr>
          <w:u w:val="single"/>
        </w:rPr>
        <w:t xml:space="preserve"> </w:t>
      </w:r>
      <w:r>
        <w:rPr>
          <w:u w:val="single"/>
        </w:rPr>
        <w:t xml:space="preserve">EXPANDED ELIGIBILITY FOR MEDICAL ASSISTANCE.  (a)  In this section, "medical assistance expansion group" means the category of persons who would not be eligible for medical assistance under the eligibility criteria in effect on December 31, 2021, but who are eligible for that assistance because of the requirement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money is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establish an entitlement to benefits under the medical assistance program for persons in the medical assistance expansion group for whom federal matching money is not available.  Medical assistance benefits for persons in the medical assistance expansion group terminate at the time federal funding terminates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unless a successor program providing federal funding is created.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any rules necessary to implement any changes in the provision of and eligibility criteria for medical assistance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32.02473,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32.02473,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