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87S20041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the voter suspense list.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15.081(a),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registrar shall maintain a suspense list containing the name of each voter: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who fails to submit a response to the registrar in accordance with Section 15.053;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whose renewal certificate is returned to the registrar in accordance with Subchapter B, Chapter 14;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who appears on the list of nonresidents of the county provided to the registrar under Section 62.114, Government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has not voted in any election in this state conducted in the preceding four years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