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144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changing the date of an election during a declared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41, Election Code, is amended by adding Section 41.0012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41.0012.</w:t>
      </w:r>
      <w:r>
        <w:rPr>
          <w:u w:val="single"/>
        </w:rPr>
        <w:t xml:space="preserve"> </w:t>
      </w:r>
      <w:r>
        <w:rPr>
          <w:u w:val="single"/>
        </w:rPr>
        <w:t xml:space="preserve"> </w:t>
      </w:r>
      <w:r>
        <w:rPr>
          <w:u w:val="single"/>
        </w:rPr>
        <w:t xml:space="preserve">EMERGENCY REQUIRING POSTPONED ELECTION.  (a)  This section applies only during a state of disaster or emergency declared by the president of the United States or a state of disaster declared by the governor under Chapter 418,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Unless otherwise ordered by the governor, the governing body of a political subdivision, other than a county, that holds an election on a date other than the November uniform election date may postpone the election to the third Saturday in August.</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governing body postponing an election under this section shall adjust the terms of office to conform to the new election date.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change authorized under this section adopted in a resolution by a home-rule city supersedes a city charter provision to the extent of any conflict.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an election ordered on or after the effective date of this Act. An election ordered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