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amount of the local option residence homestead exemption from ad valorem taxation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of a percentage of the appraised value of </w:t>
      </w:r>
      <w:r>
        <w:rPr>
          <w:u w:val="single"/>
        </w:rPr>
        <w:t xml:space="preserve">the individual's</w:t>
      </w:r>
      <w:r>
        <w:t xml:space="preserve"> [</w:t>
      </w:r>
      <w:r>
        <w:rPr>
          <w:strike/>
        </w:rPr>
        <w:t xml:space="preserve">his</w:t>
      </w:r>
      <w:r>
        <w:t xml:space="preserve">]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w:t>
      </w:r>
      <w:r>
        <w:rPr>
          <w:u w:val="single"/>
        </w:rPr>
        <w:t xml:space="preserve">100</w:t>
      </w:r>
      <w:r>
        <w:t xml:space="preserve"> [</w:t>
      </w:r>
      <w:r>
        <w:rPr>
          <w:strike/>
        </w:rPr>
        <w:t xml:space="preserve">20</w:t>
      </w:r>
      <w:r>
        <w:t xml:space="preserve">]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2nd Called Session, 2021, to increase the maximum amount of the local option residence homestead exemption from ad valorem </w:t>
      </w:r>
      <w:r>
        <w:t xml:space="preserve">taxation by a political subdivision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