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87S20231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acceptance of a provisional ballot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65.054(b),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provisional ballot shall be accepted if the board determines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information in the affidavit or contained in public records, the person is eligible to vote in the election and has not previously voted in that election;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meets the identification requirements of Section 63.001(b) at the time the ballot was cast or in the period prescribed under Section 65.0541;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Chapter 110, Civil Practice and Remedies Code, executes an affidavit under penalty of perjury that states the voter has a religious objection to being photographed and the voter has consistently refused to be photographed for any governmental purpose from the time the voter has held this belief;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executes an affidavit under penalty of perjury that states the voter does not have any identification meeting the requirements of Section 63.001(b) as a result of a natural disaster that was declared by the president of the United States or the governor, occurred not earlier than </w:t>
      </w:r>
      <w:r>
        <w:rPr>
          <w:u w:val="single"/>
        </w:rPr>
        <w:t xml:space="preserve">the 60th day</w:t>
      </w:r>
      <w:r>
        <w:t xml:space="preserve"> [</w:t>
      </w:r>
      <w:r>
        <w:rPr>
          <w:strike/>
        </w:rPr>
        <w:t xml:space="preserve">45 days</w:t>
      </w:r>
      <w:r>
        <w:t xml:space="preserve">] before the date the ballot was cast, and caused the destruction of or inability to access the voter's identification;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voter has not been challenged and voted a provisional ballot solely because the voter did not meet the requirements for identification prescribed by Section 63.001(b).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