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87S20610 MCF-F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COVID-19 vaccine public awareness campaign.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161, Health and Safety Code, is amended by adding Section 161.01015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161.01015.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COVID-19 VACCINE PUBLIC AWARENESS CAMPAIGN.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"COVID-19" means the 2019 novel coronavirus.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develop and implement a public awareness campaign designed to increase awareness of and educate the public on the safety and effectiveness of COVID-19 vaccines approved or authorized for emergency use by the United States Food and Drug Administration.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implementing the campaign, the department shall disseminate scientific and evidence-based information and refute misinformation, with the goal of increasing vaccination rates, particularly in communities with low vaccinated population percentages.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pay the costs of the program and its administration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gifts, grants, or donations;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federal funds;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money made available for that purpose, including money specifically appropriated for the campaign and any other available department revenue.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