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87S20593 MTB-D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180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to provide grants to law enforcement agencies to equip certain motor vehicles with bullet-resistant windshields.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772, Government Code, is amended by adding Section 772.0079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772.0079.</w:t>
      </w:r>
      <w:r>
        <w:rPr>
          <w:u w:val="single"/>
        </w:rPr>
        <w:t xml:space="preserve"> </w:t>
      </w:r>
      <w:r>
        <w:rPr>
          <w:u w:val="single"/>
        </w:rPr>
        <w:t xml:space="preserve"> </w:t>
      </w:r>
      <w:r>
        <w:rPr>
          <w:u w:val="single"/>
        </w:rPr>
        <w:t xml:space="preserve">BULLET-RESISTANT WINDSHIELD GRANT PROGRAM.  (a)  In this section, "criminal justice division" means the criminal justice division established under Section 772.006.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criminal justice division shall establish and administer a grant program to provide financial assistance to a law enforcement agency in this state, other than the Department of Public Safety, for purposes of equipping all motor vehicles used by officers of the agency in discharging the officers' official duties with bullet-resistant windshields.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criminal justice division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the program and ensuring compliance with any conditions of a grant.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year, the criminal justice division shall submit to the Legislative Budget Board a report that provides the following information for the preceding state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law enforcement agency that applied for a grant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distributed to each law enforcement agency that received a grant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criminal justice division may use any revenue available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