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87S20841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prohibition on the transportation, storage, and disposal of high-level radioactive waste in certain areas.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401, Health and Safety Code, is amended by adding Section 401.072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401.072.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TRANSPORTATION, STORAGE, AND DISPOSAL OF HIGH-LEVEL RADIOACTIVE WASTE IN CRITICAL INFRASTRUCTURE ZONE.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"Critical energy infrastructure zone" means an area designated by the commission under this section.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"High-level radioactive waste" has the meaning assigned by 42 U.S.C. Section 10101(12) and includes spent nuclear fuel as defined by 42 U.S.C. Section 10101(23).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import into, dispose of, or store high-level radioactive waste in an area of this state designated as a critical energy infrastructure zone.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establish criteria and procedures for designating areas where oil and gas activities or other energy-related activities occur as critical energy infrastructure zones. In establishing the criteria and procedures, the commission shall consider establishing critical energy infrastructure zones in counties with more than: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100 megawatts of installed solar energy generation capacity;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100 megawatts of installed wind generation capacity;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10,000,000 barrels of oil produced annually;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2,000,000 MCF of natural gas produced annually.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designation of an area as a critical energy infrastructure zone remains in effect until the commission revokes the designation under procedures adopted by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amend the boundaries of a critical energy infrastructure zone.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