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87S20472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management for cybersecurity events threatening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w:t>
      </w:r>
      <w:r>
        <w:rPr>
          <w:strike/>
        </w:rPr>
        <w:t xml:space="preserve">or</w:t>
      </w:r>
      <w:r>
        <w:t xml:space="preserve">] hostile military or paramilitary action</w:t>
      </w:r>
      <w:r>
        <w:rPr>
          <w:u w:val="single"/>
        </w:rPr>
        <w:t xml:space="preserve">, or cybersecurity events</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w:t>
      </w:r>
    </w:p>
    <w:p w:rsidR="003F3435" w:rsidRDefault="0032493E">
      <w:pPr>
        <w:spacing w:line="480" w:lineRule="auto"/>
        <w:ind w:firstLine="1440"/>
        <w:jc w:val="both"/>
      </w:pPr>
      <w:r>
        <w:t xml:space="preserve">(9)</w:t>
      </w:r>
      <w:r xml:space="preserve">
        <w:t> </w:t>
      </w:r>
      <w:r xml:space="preserve">
        <w:t> </w:t>
      </w:r>
      <w: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w:t>
      </w:r>
      <w:r>
        <w:rPr>
          <w:u w:val="single"/>
        </w:rPr>
        <w:t xml:space="preserve">cybersecurity event or other</w:t>
      </w:r>
      <w:r>
        <w:t xml:space="preserve"> substantial external threat to the computer network.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