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87S20498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vacancy in the office of senator or representative due to unexcused absence.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301, Government Code, is amended by adding Section 301.074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301.074.</w:t>
      </w:r>
      <w:r>
        <w:rPr>
          <w:u w:val="single"/>
        </w:rPr>
        <w:t xml:space="preserve"> </w:t>
      </w:r>
      <w:r>
        <w:rPr>
          <w:u w:val="single"/>
        </w:rPr>
        <w:t xml:space="preserve"> </w:t>
      </w:r>
      <w:r>
        <w:rPr>
          <w:u w:val="single"/>
        </w:rPr>
        <w:t xml:space="preserve">VACANCY DUE TO UNEXCUSED ABSENCE.  A member of the legislature vacates the member's office if the member is absent during a regular or special session of the legislature without an excuse granted in accordance with the procedures of the house of which the person is a member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seven consecutive days on which that house meets and lacks a quorum to do business;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day on which that house meets and lacks a quorum to do business, if the member is outside of the United States on that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301.074, Government Code, as added by this Act, applies only to an absence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