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87S20269 MLH-F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Swanson</w:t>
      </w:r>
      <w:r xml:space="preserve">
        <w:tab wTab="150" tlc="none" cTlc="0"/>
      </w:r>
      <w:r>
        <w:t xml:space="preserve">H.B.</w:t>
      </w:r>
      <w:r xml:space="preserve">
        <w:t> </w:t>
      </w:r>
      <w:r>
        <w:t xml:space="preserve">No.</w:t>
      </w:r>
      <w:r xml:space="preserve">
        <w:t> </w:t>
      </w:r>
      <w:r>
        <w:t xml:space="preserve">211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requirements for certain petitions requesting an election and ballot propositions and to related procedures and provisions.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This Act may be cited as the Ballot Measure Election Integrity Act of 2021.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52.072, Election Code, is amended by adding Subsection (g) to read as follows: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proposition proposing an amendment to a city charter or a voter-initiated initiative or referendum as requested by a petition must use wording identical to the caption of any corresponding petition as provided by Section 277.0015(b), as applicable.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Chapter 233, Election Code, is amended by adding Section 233.0115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233.0115.</w:t>
      </w:r>
      <w:r>
        <w:rPr>
          <w:u w:val="single"/>
        </w:rPr>
        <w:t xml:space="preserve"> </w:t>
      </w:r>
      <w:r>
        <w:rPr>
          <w:u w:val="single"/>
        </w:rPr>
        <w:t xml:space="preserve"> </w:t>
      </w:r>
      <w:r>
        <w:rPr>
          <w:u w:val="single"/>
        </w:rPr>
        <w:t xml:space="preserve">BALLOT LANGUAGE MANDAMUS ACTION.  If a court orders a home-rule city to order a new election under Section 233.011, a qualified voter of the home-rule city may seek from the court a writ of mandamus to compel the governing body of the city to comply with Section 52.072(g), as provided by Section 273.101.</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Chapter 273, Election Code, is amended by adding Subchapter F to read as follows:</w:t>
      </w:r>
    </w:p>
    <w:p w:rsidR="003F3435" w:rsidRDefault="0032493E">
      <w:pPr>
        <w:spacing w:line="480" w:lineRule="auto"/>
        <w:jc w:val="center"/>
      </w:pPr>
      <w:r>
        <w:rPr>
          <w:u w:val="single"/>
        </w:rPr>
        <w:t xml:space="preserve">SUBCHAPTER F.  BALLOT PROPOSITION LANGUAGE ENFORCEMENT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273.101.</w:t>
      </w:r>
      <w:r>
        <w:rPr>
          <w:u w:val="single"/>
        </w:rPr>
        <w:t xml:space="preserve"> </w:t>
      </w:r>
      <w:r>
        <w:rPr>
          <w:u w:val="single"/>
        </w:rPr>
        <w:t xml:space="preserve"> </w:t>
      </w:r>
      <w:r>
        <w:rPr>
          <w:u w:val="single"/>
        </w:rPr>
        <w:t xml:space="preserve">MANDAMUS ACTIONS.  (a)  A qualified voter of a home-rule city may seek from the court a writ of mandamus to compel the governing body of the city to comply with the requirement of Section 52.072(g).</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court must give absolute priority to a petition for a writ brought under this section and shall make its determination without delay and prior to the deadline for printing ballots.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court may award a petitioner who substantially prevails in an action described by Subsection (a) the party's reasonable attorney's fees, expenses, and court costs.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Governmental immunity to suit and liability is waived and abolished only to the extent of the liability created by Subsection (c).</w:t>
      </w:r>
    </w:p>
    <w:p w:rsidR="003F3435" w:rsidRDefault="0032493E">
      <w:pPr>
        <w:spacing w:line="480" w:lineRule="auto"/>
        <w:ind w:firstLine="720"/>
        <w:jc w:val="both"/>
      </w:pPr>
      <w:r>
        <w:rPr>
          <w:u w:val="single"/>
        </w:rPr>
        <w:t xml:space="preserve">Sec.</w:t>
      </w:r>
      <w:r>
        <w:rPr>
          <w:u w:val="single"/>
        </w:rPr>
        <w:t xml:space="preserve"> </w:t>
      </w:r>
      <w:r>
        <w:rPr>
          <w:u w:val="single"/>
        </w:rPr>
        <w:t xml:space="preserve">273.102.</w:t>
      </w:r>
      <w:r>
        <w:rPr>
          <w:u w:val="single"/>
        </w:rPr>
        <w:t xml:space="preserve"> </w:t>
      </w:r>
      <w:r>
        <w:rPr>
          <w:u w:val="single"/>
        </w:rPr>
        <w:t xml:space="preserve"> </w:t>
      </w:r>
      <w:r>
        <w:rPr>
          <w:u w:val="single"/>
        </w:rPr>
        <w:t xml:space="preserve">REVIEW OF PETITION BY SECRETARY OF STATE.  (a)  The governing body of a home-rule city or a qualified voter of the home-rule city may file a complaint with the secretary of state alleging that a caption is invalid under Section 277.0015.</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secretary of state shall review a caption alleged to be invalid in a complaint under Subsection (a) not later than the seventh day after the date the secretary receives the complaint.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secretary of state determines that a complaint under Subsection (a) correctly alleges that a caption is invalid under Section 277.0015, the secretary of state shall modify the caption and provide the modified caption to the home-rule city for use as a ballot proposition.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modifying a caption under Subsection (c), the secretary of state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seek input from persons who signed or circulated the petition;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modify the caption only to the extent necessary for compliance with Section 277.0015.</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Action by the secretary of state under this section may not be considered by a court as evidence that a caption does not comply with Section 277.0015.</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heading to Chapter 277, Election Code, is amended to read as follows:</w:t>
      </w:r>
    </w:p>
    <w:p w:rsidR="003F3435" w:rsidRDefault="0032493E">
      <w:pPr>
        <w:spacing w:line="480" w:lineRule="auto"/>
        <w:jc w:val="center"/>
      </w:pPr>
      <w:r>
        <w:t xml:space="preserve">CHAPTER 277. PETITION </w:t>
      </w:r>
      <w:r>
        <w:rPr>
          <w:u w:val="single"/>
        </w:rPr>
        <w:t xml:space="preserve">TO CITY UNDER STATE LAW OR CITY CHARTER</w:t>
      </w:r>
      <w:r>
        <w:t xml:space="preserve"> [</w:t>
      </w:r>
      <w:r>
        <w:rPr>
          <w:strike/>
        </w:rPr>
        <w:t xml:space="preserve">PRESCRIBED BY LAW OUTSIDE CODE</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Chapter 277, Election Code, is amended by designating Sections 277.001, 277.002, 277.0021, 277.0022, 277.0023, and 277.0024 as Subchapter A and adding a subchapter heading to read as follows:</w:t>
      </w:r>
    </w:p>
    <w:p w:rsidR="003F3435" w:rsidRDefault="0032493E">
      <w:pPr>
        <w:spacing w:line="480" w:lineRule="auto"/>
        <w:jc w:val="center"/>
      </w:pPr>
      <w:r>
        <w:rPr>
          <w:u w:val="single"/>
        </w:rPr>
        <w:t xml:space="preserve">SUBCHAPTER A.  FORM AND CONTENT OF PETITION</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277.001, Election Code, is amended to read as follows:</w:t>
      </w:r>
    </w:p>
    <w:p w:rsidR="003F3435" w:rsidRDefault="0032493E">
      <w:pPr>
        <w:spacing w:line="480" w:lineRule="auto"/>
        <w:ind w:firstLine="720"/>
        <w:jc w:val="both"/>
      </w:pPr>
      <w:r>
        <w:t xml:space="preserve">Sec.</w:t>
      </w:r>
      <w:r xml:space="preserve">
        <w:t> </w:t>
      </w:r>
      <w:r>
        <w:t xml:space="preserve">277.001.</w:t>
      </w:r>
      <w:r xml:space="preserve">
        <w:t> </w:t>
      </w:r>
      <w:r xml:space="preserve">
        <w:t> </w:t>
      </w:r>
      <w:r>
        <w:t xml:space="preserve">APPLICABILITY OF </w:t>
      </w:r>
      <w:r>
        <w:rPr>
          <w:u w:val="single"/>
        </w:rPr>
        <w:t xml:space="preserve">SUBCHAPTER</w:t>
      </w:r>
      <w:r>
        <w:t xml:space="preserve"> [</w:t>
      </w:r>
      <w:r>
        <w:rPr>
          <w:strike/>
        </w:rPr>
        <w:t xml:space="preserve">CHAPTER</w:t>
      </w:r>
      <w:r>
        <w:t xml:space="preserve">].  This </w:t>
      </w:r>
      <w:r>
        <w:rPr>
          <w:u w:val="single"/>
        </w:rPr>
        <w:t xml:space="preserve">subchapter</w:t>
      </w:r>
      <w:r>
        <w:t xml:space="preserve"> [</w:t>
      </w:r>
      <w:r>
        <w:rPr>
          <w:strike/>
        </w:rPr>
        <w:t xml:space="preserve">chapter</w:t>
      </w:r>
      <w:r>
        <w:t xml:space="preserve">] applies to a petition authorized or required to be filed </w:t>
      </w:r>
      <w:r>
        <w:rPr>
          <w:u w:val="single"/>
        </w:rPr>
        <w:t xml:space="preserve">with a city</w:t>
      </w:r>
      <w:r>
        <w:t xml:space="preserve"> [</w:t>
      </w:r>
      <w:r>
        <w:rPr>
          <w:strike/>
        </w:rPr>
        <w:t xml:space="preserve">under a law outside this code</w:t>
      </w:r>
      <w:r>
        <w:t xml:space="preserve">] in connection with an election</w:t>
      </w:r>
      <w:r>
        <w:rPr>
          <w:u w:val="single"/>
        </w:rPr>
        <w:t xml:space="preserve">, regardless of whether the petition is authorized by state law or a city charter</w:t>
      </w:r>
      <w:r>
        <w:t xml:space="preserv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Subchapter A, Chapter 277, Election Code, as added by this Act, is amended by adding Section 277.0015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277.0015.</w:t>
      </w:r>
      <w:r>
        <w:rPr>
          <w:u w:val="single"/>
        </w:rPr>
        <w:t xml:space="preserve"> </w:t>
      </w:r>
      <w:r>
        <w:rPr>
          <w:u w:val="single"/>
        </w:rPr>
        <w:t xml:space="preserve"> </w:t>
      </w:r>
      <w:r>
        <w:rPr>
          <w:u w:val="single"/>
        </w:rPr>
        <w:t xml:space="preserve">PROPOSED MEASURES.  (a)  A petition must contain or have attached a caption for the proposed measure.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caption must identify the proposed measure by its chief features, describing its character and purpose with such definiteness and certainty that voters are not misled.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Unless the caption is modified under Section 273.102, the governing body of a home-rule city shall proceed with an election requested by a petition despite a complaint that the petition violates Subsection (b) and in doing so shall comply with Section 52.072(g) and all ordinary timelines and requirements for such an election.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secretary of state shall issue guidance to help a person preparing to circulate a petition comply with the requirements of Subsection (b).</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277.002, Election Code, is amended by adding Subsection (g) to read as follows: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illegibility of a signature on a petition submitted to a home-rule city is not a valid basis for invalidating the signature if the information provided with the signature as required by this section and other applicable law legibly provides enough information to demonstrate that the signer: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eligible to have signed the petition;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signed the petition on or after the 180th day before the date the petition was filed.</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Subchapter A, Chapter 277, Election Code, as added by this Act, is amended by adding Section 277.005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277.005.</w:t>
      </w:r>
      <w:r>
        <w:rPr>
          <w:u w:val="single"/>
        </w:rPr>
        <w:t xml:space="preserve"> </w:t>
      </w:r>
      <w:r>
        <w:rPr>
          <w:u w:val="single"/>
        </w:rPr>
        <w:t xml:space="preserve"> </w:t>
      </w:r>
      <w:r>
        <w:rPr>
          <w:u w:val="single"/>
        </w:rPr>
        <w:t xml:space="preserve">STANDARD PETITION FORM; VALIDITY.  (a)  The secretary of state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adopt a standard petition form for petition-initiated elections;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publish the form and instructions for using the form on the secretary's Internet website.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standard petition form must require: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name of the circulator;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caption for the measure as required by Section 277.0015;</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each signer to provide: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signer's printed name;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signer's signature;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signer's:</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date of birth; or</w:t>
      </w:r>
      <w:r>
        <w:t xml:space="preserve"> </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voter registration number and county of residence;</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signer's residence address, including city and, if applicable, zip code;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the date of signing;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 affidavit of the circulator stating that the circulator verifies that the circulator witnessed the signatures, including a space for the affidavit to be signed and notarized.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any other law, including a city charter, a city may not require the submission of information on or with a petition that the standard petition form published by the secretary of state does not provide for or require to be provided.</w:t>
      </w:r>
      <w:r>
        <w:t xml:space="preserve"> </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person who circulates or submits a petition is not required to use the standard petition form. A petition that does not use the standard petition form must contain the substantial elements required to be provided on the standard petition form.</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Chapter 277, Election Code, is amended by adding Subchapters B and C to read as follows:</w:t>
      </w:r>
    </w:p>
    <w:p w:rsidR="003F3435" w:rsidRDefault="0032493E">
      <w:pPr>
        <w:spacing w:line="480" w:lineRule="auto"/>
        <w:jc w:val="center"/>
      </w:pPr>
      <w:r>
        <w:rPr>
          <w:u w:val="single"/>
        </w:rPr>
        <w:t xml:space="preserve">SUBCHAPTER B.  SUBMISSION OF CERTAIN CITY PETITIONS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277.031.</w:t>
      </w:r>
      <w:r>
        <w:rPr>
          <w:u w:val="single"/>
        </w:rPr>
        <w:t xml:space="preserve"> </w:t>
      </w:r>
      <w:r>
        <w:rPr>
          <w:u w:val="single"/>
        </w:rPr>
        <w:t xml:space="preserve"> </w:t>
      </w:r>
      <w:r>
        <w:rPr>
          <w:u w:val="single"/>
        </w:rPr>
        <w:t xml:space="preserve">APPLICABILITY OF SUBCHAPTER.  This subchapter applies to a home-rule city that has a procedure requiring the governing body of the city to hold an election on receipt of a petition, including a procedure imposed by statute, requesting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277.032.</w:t>
      </w:r>
      <w:r>
        <w:rPr>
          <w:u w:val="single"/>
        </w:rPr>
        <w:t xml:space="preserve"> </w:t>
      </w:r>
      <w:r>
        <w:rPr>
          <w:u w:val="single"/>
        </w:rPr>
        <w:t xml:space="preserve"> </w:t>
      </w:r>
      <w:r>
        <w:rPr>
          <w:u w:val="single"/>
        </w:rPr>
        <w:t xml:space="preserve">CONFLICTS WITH CITY CHARTER OR OTHER LAW.  The provisions of this subchapter apply notwithstanding any city charter provision or other law.</w:t>
      </w:r>
    </w:p>
    <w:p w:rsidR="003F3435" w:rsidRDefault="0032493E">
      <w:pPr>
        <w:spacing w:line="480" w:lineRule="auto"/>
        <w:ind w:firstLine="720"/>
        <w:jc w:val="both"/>
      </w:pPr>
      <w:r>
        <w:rPr>
          <w:u w:val="single"/>
        </w:rPr>
        <w:t xml:space="preserve">Sec.</w:t>
      </w:r>
      <w:r>
        <w:rPr>
          <w:u w:val="single"/>
        </w:rPr>
        <w:t xml:space="preserve"> </w:t>
      </w:r>
      <w:r>
        <w:rPr>
          <w:u w:val="single"/>
        </w:rPr>
        <w:t xml:space="preserve">277.033.</w:t>
      </w:r>
      <w:r>
        <w:rPr>
          <w:u w:val="single"/>
        </w:rPr>
        <w:t xml:space="preserve"> </w:t>
      </w:r>
      <w:r>
        <w:rPr>
          <w:u w:val="single"/>
        </w:rPr>
        <w:t xml:space="preserve"> </w:t>
      </w:r>
      <w:r>
        <w:rPr>
          <w:u w:val="single"/>
        </w:rPr>
        <w:t xml:space="preserve">DETERMINATION OF VALIDITY.  (a)  The city secretary shall determine the validity of a petition submitted under this subchapter, including by verifying the petition signatures, not later than the 30th day after the date the city receives the petition.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city secretary may not invalidate a petition on grounds of an inadequate caption but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file a complaint under Section 273.102;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modify the caption as directed by the secretary of state under Section 273.102.</w:t>
      </w:r>
    </w:p>
    <w:p w:rsidR="003F3435" w:rsidRDefault="0032493E">
      <w:pPr>
        <w:spacing w:line="480" w:lineRule="auto"/>
        <w:ind w:firstLine="720"/>
        <w:jc w:val="both"/>
      </w:pPr>
      <w:r>
        <w:rPr>
          <w:u w:val="single"/>
        </w:rPr>
        <w:t xml:space="preserve">Sec.</w:t>
      </w:r>
      <w:r>
        <w:rPr>
          <w:u w:val="single"/>
        </w:rPr>
        <w:t xml:space="preserve"> </w:t>
      </w:r>
      <w:r>
        <w:rPr>
          <w:u w:val="single"/>
        </w:rPr>
        <w:t xml:space="preserve">277.034.</w:t>
      </w:r>
      <w:r>
        <w:rPr>
          <w:u w:val="single"/>
        </w:rPr>
        <w:t xml:space="preserve"> </w:t>
      </w:r>
      <w:r>
        <w:rPr>
          <w:u w:val="single"/>
        </w:rPr>
        <w:t xml:space="preserve"> </w:t>
      </w:r>
      <w:r>
        <w:rPr>
          <w:u w:val="single"/>
        </w:rPr>
        <w:t xml:space="preserve">COLLECTOR REQUIREMENTS PROHIBITED.  A city may not restrict who may collect petition signatures.</w:t>
      </w:r>
    </w:p>
    <w:p w:rsidR="003F3435" w:rsidRDefault="0032493E">
      <w:pPr>
        <w:spacing w:line="480" w:lineRule="auto"/>
        <w:jc w:val="center"/>
      </w:pPr>
      <w:r>
        <w:rPr>
          <w:u w:val="single"/>
        </w:rPr>
        <w:t xml:space="preserve">SUBCHAPTER C.  REPEAL OF PETITION-INITIATED CHARTER AMENDMENT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277.051.</w:t>
      </w:r>
      <w:r>
        <w:rPr>
          <w:u w:val="single"/>
        </w:rPr>
        <w:t xml:space="preserve"> </w:t>
      </w:r>
      <w:r>
        <w:rPr>
          <w:u w:val="single"/>
        </w:rPr>
        <w:t xml:space="preserve"> </w:t>
      </w:r>
      <w:r>
        <w:rPr>
          <w:u w:val="single"/>
        </w:rPr>
        <w:t xml:space="preserve">APPLICABILITY OF SUBCHAPTER.  This subchapter applies to a home-rule city that has a procedure, including a procedure imposed by statute, requiring the governing body of the city to hold an election on receipt of a petition requesting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277.052.</w:t>
      </w:r>
      <w:r>
        <w:rPr>
          <w:u w:val="single"/>
        </w:rPr>
        <w:t xml:space="preserve"> </w:t>
      </w:r>
      <w:r>
        <w:rPr>
          <w:u w:val="single"/>
        </w:rPr>
        <w:t xml:space="preserve"> </w:t>
      </w:r>
      <w:r>
        <w:rPr>
          <w:u w:val="single"/>
        </w:rPr>
        <w:t xml:space="preserve">REPEAL OF PETITION-INITIATED CHARTER AMENDMENT.  (a)  A city may repeal a charter amendment adopted by a petition-initiated election only by a petition-initiated election held for the specific purpose of repealing the amendment. A repeal petition may not include any other measure, including the repeal of multiple charter amendments.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city may not repeal a charter amendment adopted by a petition-initiated election by adopting a new or revised city charter.  A new or revised city charter must include each charter amendment adopted by a petition-initiated election unless the charter amendment was repealed in accordance with Subsection (a).</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9.004(a), Local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governing body of a municipality on its own motion may submit a proposed charter amendment to the municipality's qualified voters for their approval at an election.  The governing body shall submit a proposed charter amendment to the voters for their approval at an election if the submission is supported by a petition signed by a number of qualified voters of the municipality equal to at least five percent of the number of qualified voters of the municipality </w:t>
      </w:r>
      <w:r>
        <w:rPr>
          <w:u w:val="single"/>
        </w:rPr>
        <w:t xml:space="preserve">on the date of the most recent election held throughout the municipality</w:t>
      </w:r>
      <w:r>
        <w:t xml:space="preserve"> or 20,000, whichever number is the smaller.</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Sections 277.003 and 277.004, Election Code, are repealed.</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Not later than January 1, 2022, the secretary of state shall adopt and publish a petition form as required by Section 277.005, Election Code, as added by this Act.</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The changes in law made by this Act apply only to a petition submitted on or after January 1, 2022.</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211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