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notifications given to a person convicted of a felony concerning the person's eligibility to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42.03, Code of Criminal Procedure, is amended by adding Section 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after pronouncing the sentence of a defendant convicted of a felony shall inform the defendant, in writing using clear language, of how the felony conviction will impact the defendant's right to vote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15, Election Code, is amended by adding Section 15.029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15.029.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NOTIFICATION OF REGISTRATION ELIGIBILITY BY SECRETARY OF STATE.  (a) This section applies to a person who is ineligible to vote in this state under Section 13.001(a)(4) because the person was finally convicted of a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coordinate with the Texas Department of Criminal Justice, the Department of Public Safety, and any other relevant agency to determine when a person to whom this section applies has regained eligibility to vote in accordance with Section 13.001(a)(4)(A) or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a person to whom this section applies regains eligibility to vote, the secretary of state shall use best efforts to provide the person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informing the person in plain language that the person may be eligible to register to vote, including instructions for registration;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voter registration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post on the secretary's Internet website a generic version of the notice described by Subsection (c)(1).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adopt rules as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