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select committee to study the feasibility and sustainability of providing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joint select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JOINT SELECT COMMITTEE.  (a)  A joint select committee is established for the purposes of this Act and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one member of the public who is appointed by the lieutenant governor from lists of names submitted by stakeholder groups; and</w:t>
      </w:r>
    </w:p>
    <w:p w:rsidR="003F3435" w:rsidRDefault="0032493E">
      <w:pPr>
        <w:spacing w:line="480" w:lineRule="auto"/>
        <w:ind w:firstLine="1440"/>
        <w:jc w:val="both"/>
      </w:pPr>
      <w:r>
        <w:t xml:space="preserve">(4)</w:t>
      </w:r>
      <w:r xml:space="preserve">
        <w:t> </w:t>
      </w:r>
      <w:r xml:space="preserve">
        <w:t> </w:t>
      </w:r>
      <w:r>
        <w:t xml:space="preserve">one member of the public who is appointed by the speaker of the house of representatives from lists of names submitted by stakeholder groups.</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the appointments required under Subsection (a) of this section as soon as possible after the effective date of this Act, but not later than November 1, 2021.</w:t>
      </w:r>
    </w:p>
    <w:p w:rsidR="003F3435" w:rsidRDefault="0032493E">
      <w:pPr>
        <w:spacing w:line="480" w:lineRule="auto"/>
        <w:ind w:firstLine="720"/>
        <w:jc w:val="both"/>
      </w:pPr>
      <w:r>
        <w:t xml:space="preserve">(c)</w:t>
      </w:r>
      <w:r xml:space="preserve">
        <w:t> </w:t>
      </w:r>
      <w:r xml:space="preserve">
        <w:t> </w:t>
      </w:r>
      <w:r>
        <w:t xml:space="preserve">If a vacancy occurs, the appropriate appointing officer shall appoint a person to serve for the remainder of the unexpired term in the same manner as the original appointment.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PRESIDING OFFICER; MEETINGS.  (a)  The lieutenant governor and the speaker of the house of representatives shall jointly select the presiding officer of the committee.</w:t>
      </w:r>
    </w:p>
    <w:p w:rsidR="003F3435" w:rsidRDefault="0032493E">
      <w:pPr>
        <w:spacing w:line="480" w:lineRule="auto"/>
        <w:ind w:firstLine="720"/>
        <w:jc w:val="both"/>
      </w:pPr>
      <w:r>
        <w:t xml:space="preserve">(b)</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COOPERATION OF STATE AGENCY, DEPARTMENT, OR OFFICE. </w:t>
      </w:r>
      <w:r>
        <w:t xml:space="preserve"> </w:t>
      </w:r>
      <w:r>
        <w:t xml:space="preserve">If needed to perform the duties of the committee, the committee may request the assistance of a state agency, department, or office.  The state agency, department, or office shall provide the committee with the requested assistance.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EXPENSES.  (a)  Each member of the committee is entitled to reimbursement for actual and necessary expenses incurred in performing committee duties.</w:t>
      </w:r>
    </w:p>
    <w:p w:rsidR="003F3435" w:rsidRDefault="0032493E">
      <w:pPr>
        <w:spacing w:line="480" w:lineRule="auto"/>
        <w:ind w:firstLine="720"/>
        <w:jc w:val="both"/>
      </w:pPr>
      <w:r>
        <w:t xml:space="preserve">(b)</w:t>
      </w:r>
      <w:r xml:space="preserve">
        <w:t> </w:t>
      </w:r>
      <w:r xml:space="preserve">
        <w:t> </w:t>
      </w:r>
      <w:r>
        <w:t xml:space="preserve">Each legislative member is entitled to reimbursement from the appropriate fund of the member's respective house.</w:t>
      </w:r>
    </w:p>
    <w:p w:rsidR="003F3435" w:rsidRDefault="0032493E">
      <w:pPr>
        <w:spacing w:line="480" w:lineRule="auto"/>
        <w:ind w:firstLine="720"/>
        <w:jc w:val="both"/>
      </w:pPr>
      <w:r>
        <w:t xml:space="preserve">(c)</w:t>
      </w:r>
      <w:r xml:space="preserve">
        <w:t> </w:t>
      </w:r>
      <w:r xml:space="preserve">
        <w:t> </w:t>
      </w:r>
      <w:r>
        <w:t xml:space="preserve">Each public member is entitled to reimbursement from funds appropriated to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COMMITTEE POWERS AND DUTIES; STUDY.  (a)  The committee shall study the feasibility and sustainability of providing a cost-of-living adjustment payable to annuitants receiving a retirement benefit annuity under the Teacher Retirement System of Texas.  The study must seek to identify and recommend a financial structure capable of providing the cost-of-living adjustment.</w:t>
      </w:r>
    </w:p>
    <w:p w:rsidR="003F3435" w:rsidRDefault="0032493E">
      <w:pPr>
        <w:spacing w:line="480" w:lineRule="auto"/>
        <w:ind w:firstLine="720"/>
        <w:jc w:val="both"/>
      </w:pPr>
      <w:r>
        <w:t xml:space="preserve">(b)</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REPORT.  Not later than September 1, 2022, the committee shall submit to the governor, the lieutenant governor, and the speaker of the house of representatives a report of the committee's findings and recommendations under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ABOLITION OF COMMITTEE; EXPIRATION.  The committee is abolished and this Act expires September 15,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