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87S21055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adaptive model data analytics software by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 (g-7) to read as follows:</w:t>
      </w:r>
    </w:p>
    <w:p w:rsidR="003F3435" w:rsidRDefault="0032493E">
      <w:pPr>
        <w:spacing w:line="480" w:lineRule="auto"/>
        <w:ind w:firstLine="720"/>
        <w:jc w:val="both"/>
      </w:pPr>
      <w:r>
        <w:rPr>
          <w:u w:val="single"/>
        </w:rPr>
        <w:t xml:space="preserve">(g-7)</w:t>
      </w:r>
      <w:r>
        <w:rPr>
          <w:u w:val="single"/>
        </w:rPr>
        <w:t xml:space="preserve"> </w:t>
      </w:r>
      <w:r>
        <w:rPr>
          <w:u w:val="single"/>
        </w:rPr>
        <w:t xml:space="preserve"> </w:t>
      </w:r>
      <w:r>
        <w:rPr>
          <w:u w:val="single"/>
        </w:rPr>
        <w:t xml:space="preserve">To maintain certification as an independent organization under this section, an organization must use adaptive model data analytics software in forecasting power generation system availability.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the 91st day after the last day of the legislative session shall begin to use adaptive model data analytics software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After September 1, 2022, the Public Utility Commission of Texas may decertify an independent organization that does not use adaptive model data analytics software to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