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87S20841 JAM-D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Landgraf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236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prohibition on the transportation, storage, and disposal of high-level radioactive waste in certain areas.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401, Health and Safety Code, is amended by adding Section 401.072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401.072.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TRANSPORTATION, STORAGE, AND DISPOSAL OF HIGH-LEVEL RADIOACTIVE WASTE IN CRITICAL INFRASTRUCTURE ZONE.  (a)  In this section: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"Critical energy infrastructure zone" means an area designated by the commission under this section.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"High-level radioactive waste" has the meaning assigned by 42 U.S.C. Section 10101(12) and includes spent nuclear fuel as defined by 42 U.S.C. Section 10101(23).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may not import into, dispose of, or store high-level radioactive waste in an area of this state designated as a critical energy infrastructure zone.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shall establish criteria and procedures for designating areas where oil and gas activities or other energy-related activities occur as critical energy infrastructure zones. In establishing the criteria and procedures, the commission shall consider establishing critical energy infrastructure zones in counties with more than: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100 megawatts of installed solar energy generation capacity;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100 megawatts of installed wind generation capacity;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10,000,000 barrels of oil produced annually;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2,000,000 MCF of natural gas produced annually.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designation of an area as a critical energy infrastructure zone remains in effect until the commission revokes the designation under procedures adopted by the commission.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may amend the boundaries of a critical energy infrastructure zone.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shall adopt rules necessary to implement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on the 91st day after the last day of the legislative session.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236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