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HOUSE 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recent years, the Hill Country community of Llano has become known throughout Texas as a thriving center for the sport of barrel racing;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John L. Kuykendall Event Center and Arena attracts a multitude of competitors and fans to the city, and the Llano Chamber of Commerce estimates that the economic impact from barrel racing exceeds $1 million annually;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From 2016 to 2020, the number of barrel races held at the JLK Arena grew by 200 percent, with total annual race days increasing from 50 to 120; approximately 150 events are slated to take place in 2021, and the venue is also used for practice sessions for several days each week;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Renowned as one of the safest barrel racing facilities in Texas, the JLK Arena has been honored with a Justin Boots Best Footing Award from the Women's Professional Rodeo Association in recognition of the exceptional ground conditions at its races;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Barrel racing is a source of pride and prosperity for the residents of Llano, and the city's efforts to showcase the sport are furthering the rich rodeo heritage of the Lone Star State;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87th Legislature of the State of Texas, 2nd Called Session, hereby designate Llano as the official Barrel Racing Capital of Texas;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That, in accordance with the provisions of Section 391.003(e), Government Code, this designation remain in effect until the 10th anniversary of the date this resolution is finally passed by the legislature.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