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87S20200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H.J.R.</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provide for a credit against the ad valorem taxes imposed on property owned by a person who makes a donation to the state for the purpose of border security and to provide for the reimbursement of political subdivisions for the revenue loss incurred as a result of the credit.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1-q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1-q.</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legislature by general law may provide that a person who makes a donation to the state for the purpose of border security is entitled to a credit against the ad valorem taxes imposed on property that the person owns in an amount equal to the lesser of the amount of the donation or the amount of taxes imposed.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prescribe eligibility requirements for the tax credit authorized by this section and may provide formulas for determining the manner in which the credit is allocated among the political subdivisions that impose a tax on the person's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constitution, the legislature by general law may authorize the use of state money to reimburse a political subdivision for the revenue loss incurred as a result of the tax credit authorized by this section and shall provide a procedure for distributing the money appropriated for that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8, 2022. The ballot shall be printed to permit voting for or against the proposition:  "The constitutional amendment to authorize the legislature to provide for a credit against the ad valorem taxes imposed on property owned by a person who makes a donation to the state for the purpose of border security and to provide for the reimbursement of political subdivisions for the revenue loss incurred as a result of the credit."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