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87S20674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H.R.</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87th Texas Legislature, That Chapter C, Rule 5, of the permanent rules of the House of Representatives of the 87th Legislature is amended by adding Section 34A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34A.</w:t>
      </w:r>
      <w:r>
        <w:rPr>
          <w:u w:val="single"/>
        </w:rPr>
        <w:t xml:space="preserve"> </w:t>
      </w:r>
      <w:r>
        <w:rPr>
          <w:u w:val="single"/>
        </w:rPr>
        <w:t xml:space="preserve"> </w:t>
      </w:r>
      <w:r>
        <w:rPr>
          <w:u w:val="single"/>
        </w:rPr>
        <w:t xml:space="preserve">BACK MICROPHONE.  The back microphone must be continuously on at any time the house is in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