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City Council Representative Peter Svarzbein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Representative Svarzbein has risen to this unprecedented challenge, and his efforts have been instrumental in helping El Paso navigate the crisis; and</w:t>
      </w:r>
    </w:p>
    <w:p w:rsidR="003F3435" w:rsidRDefault="0032493E">
      <w:pPr>
        <w:spacing w:line="480" w:lineRule="auto"/>
        <w:ind w:firstLine="720"/>
        <w:jc w:val="both"/>
      </w:pPr>
      <w:r>
        <w:t xml:space="preserve">WHEREAS, Representative Svarzbein was elected to the District 1 seat on the El Paso City Council in July 2015, and five years later, he was named mayor pro tempore; he has further distinguished himself as a faculty member at New Mexico State University and the Texas Tech University College of Architecture and as the curator for the Purple Pop-Up Gallery, which he cofounded; highly engaged in his community, he was a passionate advocate for the El Paso Streetcar Project, and he serves on the boards of the Jewish Federation of Greater El Paso, the El Paso Artist Guild, the El Paso Metropolitan Planning Organization, the Rio Grande Council of Governments, and Sister Cities International; and</w:t>
      </w:r>
    </w:p>
    <w:p w:rsidR="003F3435" w:rsidRDefault="0032493E">
      <w:pPr>
        <w:spacing w:line="480" w:lineRule="auto"/>
        <w:ind w:firstLine="720"/>
        <w:jc w:val="both"/>
      </w:pPr>
      <w:r>
        <w:t xml:space="preserve">WHEREAS, Peter Svarzbein's decisive leadership has greatly benefited the citizens of El Paso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El Paso City Council Representative Peter Svarzbein for his service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Representative Svarzbein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