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County Commissioner Carlos Leon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Commissioner Leon has risen to this unprecedented challenge, and his efforts have been instrumental in helping El Paso County navigate the crisis; and</w:t>
      </w:r>
    </w:p>
    <w:p w:rsidR="003F3435" w:rsidRDefault="0032493E">
      <w:pPr>
        <w:spacing w:line="480" w:lineRule="auto"/>
        <w:ind w:firstLine="720"/>
        <w:jc w:val="both"/>
      </w:pPr>
      <w:r>
        <w:t xml:space="preserve">WHEREAS, A 30-year veteran of the El Paso Police Department, Carlos Leon worked his way up through every rank in the department; as a captain, he played a leading role in introducing community policing to the city, and during his five-year tenure as chief of police, El Paso earned national recognition as one of the safest cities in the nation; upon his retirement in 2003, he received the city council's highest honor, the Conquistador Award, and he has since acted as a consultant for the National Center for Missing and Exploited Children; he is currently serving his second term as county commissioner for Precinct 1; and</w:t>
      </w:r>
    </w:p>
    <w:p w:rsidR="003F3435" w:rsidRDefault="0032493E">
      <w:pPr>
        <w:spacing w:line="480" w:lineRule="auto"/>
        <w:ind w:firstLine="720"/>
        <w:jc w:val="both"/>
      </w:pPr>
      <w:r>
        <w:t xml:space="preserve">WHEREAS, Carlos Leon's decisive leadership has greatly benefited the citizens of El Paso County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Commissioner Carlos Leon for his service to El Paso County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Commissioner Leon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