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87S21548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Commissioner Carlos Leon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Commissioner Leon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A 30-year veteran of the El Paso Police Department, Carlos Leon worked his way up through every rank in the department; as a captain, he played a leading role in introducing community policing to the city, and during his five-year tenure as chief of police, El Paso earned national recognition as one of the safest cities in the nation; upon his retirement in 2003, he received the city council's highest honor, the Conquistador Award, and he has since acted as a consultant for the National Center for Missing and Exploited Children; he is currently serving his second term as county commissioner for Precinct 1; and</w:t>
      </w:r>
    </w:p>
    <w:p w:rsidR="003F3435" w:rsidRDefault="0032493E">
      <w:pPr>
        <w:spacing w:line="480" w:lineRule="auto"/>
        <w:ind w:firstLine="720"/>
        <w:jc w:val="both"/>
      </w:pPr>
      <w:r>
        <w:t xml:space="preserve">WHEREAS, Carlos Leon's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Commissioner Carlos Leon for his service to El Paso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Commissioner Leon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