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180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students, faculty, and staff of Texas State University are celebrating National Hispanic-Serving Institutions Week from September 13 to 17, 2021;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Established by former President Barack Obama in 2012, National HSI Week is organized by the Hispanic Association of Colleges and Universities; the observance honors postsecondary institutions with at least 25 percent Hispanic enrollment that advance access to education and promote equity for traditionally underserved students;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Texas State University earned designation as a Hispanic-Serving Institution in 2011, and it has since worked to improve academic programs, expand opportunities for research, and increase graduation rates; the university will celebrate its 10th year as an HSI with a number of events, including HSI Community Day, an anniversary banquet, and a symposium; moreover, it will present the HSI Champion Award;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Texas State University has demonstrated a steadfast commitment to helping the members of its diverse student body prepare for the challenges and opportunities of the future, and the observance of National Hispanic-Serving Institutions Week provides a fitting opportunity to recognize the university's many achievements;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Legislature, 2nd Called Session, hereby commemorate National Hispanic-Serving Institutions Week in September 2021 and extend to Texas State University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the university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Zwiener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180 was adopted by the House on September 2, 2021,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180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